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1411"/>
        <w:tblW w:w="6114"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10757"/>
        <w:gridCol w:w="13"/>
      </w:tblGrid>
      <w:tr w:rsidR="00392BD5" w:rsidRPr="007F2B6C" w14:paraId="31D4BBF0" w14:textId="77777777" w:rsidTr="33E7A172">
        <w:trPr>
          <w:gridAfter w:val="1"/>
          <w:wAfter w:w="6" w:type="pct"/>
          <w:trHeight w:val="322"/>
        </w:trPr>
        <w:tc>
          <w:tcPr>
            <w:tcW w:w="4994" w:type="pct"/>
            <w:tcBorders>
              <w:bottom w:val="single" w:sz="8" w:space="0" w:color="000000" w:themeColor="text1"/>
            </w:tcBorders>
          </w:tcPr>
          <w:p w14:paraId="6DE97FB2" w14:textId="77777777" w:rsidR="000E3478" w:rsidRPr="007F2B6C" w:rsidRDefault="000E3478" w:rsidP="0096478A">
            <w:pPr>
              <w:pStyle w:val="TableParagraph"/>
              <w:ind w:left="1658" w:right="1693"/>
              <w:jc w:val="center"/>
              <w:rPr>
                <w:rFonts w:ascii="Arial Narrow" w:hAnsi="Arial Narrow"/>
                <w:b/>
                <w:color w:val="000000" w:themeColor="text1"/>
                <w:lang w:val="es-CO"/>
              </w:rPr>
            </w:pPr>
            <w:r w:rsidRPr="007F2B6C">
              <w:rPr>
                <w:rFonts w:ascii="Arial Narrow" w:hAnsi="Arial Narrow"/>
                <w:b/>
                <w:color w:val="000000" w:themeColor="text1"/>
                <w:lang w:val="es-CO"/>
              </w:rPr>
              <w:t>FICHA DE CONCILIACIÓN JUDICIAL Y PACTO DE CUMPLIMIENTO</w:t>
            </w:r>
          </w:p>
        </w:tc>
      </w:tr>
      <w:tr w:rsidR="00392BD5" w:rsidRPr="007F2B6C" w14:paraId="6ADD8121" w14:textId="77777777" w:rsidTr="33E7A172">
        <w:trPr>
          <w:gridAfter w:val="1"/>
          <w:wAfter w:w="6" w:type="pct"/>
          <w:trHeight w:val="462"/>
        </w:trPr>
        <w:tc>
          <w:tcPr>
            <w:tcW w:w="4994" w:type="pct"/>
            <w:tcBorders>
              <w:top w:val="single" w:sz="8" w:space="0" w:color="000000" w:themeColor="text1"/>
              <w:bottom w:val="single" w:sz="18" w:space="0" w:color="000000" w:themeColor="text1"/>
            </w:tcBorders>
          </w:tcPr>
          <w:p w14:paraId="493AABCC" w14:textId="7052A488" w:rsidR="000E3478" w:rsidRPr="007F2B6C" w:rsidRDefault="000E3478" w:rsidP="0096478A">
            <w:pPr>
              <w:pStyle w:val="TableParagraph"/>
              <w:tabs>
                <w:tab w:val="left" w:pos="1602"/>
                <w:tab w:val="left" w:pos="3189"/>
                <w:tab w:val="left" w:pos="5910"/>
              </w:tabs>
              <w:ind w:left="15"/>
              <w:rPr>
                <w:rFonts w:ascii="Arial Narrow" w:hAnsi="Arial Narrow"/>
                <w:color w:val="000000" w:themeColor="text1"/>
                <w:lang w:val="es-CO"/>
              </w:rPr>
            </w:pPr>
            <w:r w:rsidRPr="6D505201">
              <w:rPr>
                <w:rFonts w:ascii="Arial Narrow" w:hAnsi="Arial Narrow"/>
                <w:b/>
                <w:bCs/>
                <w:color w:val="000000" w:themeColor="text1"/>
                <w:lang w:val="es-CO"/>
              </w:rPr>
              <w:t>ID de Ficha:</w:t>
            </w:r>
            <w:r w:rsidR="373BF32D" w:rsidRPr="6D505201">
              <w:rPr>
                <w:rFonts w:ascii="Arial Narrow" w:hAnsi="Arial Narrow"/>
                <w:b/>
                <w:bCs/>
                <w:color w:val="000000" w:themeColor="text1"/>
                <w:lang w:val="es-CO"/>
              </w:rPr>
              <w:t xml:space="preserve"> 283401</w:t>
            </w:r>
            <w:r>
              <w:tab/>
            </w:r>
            <w:r w:rsidR="00AD324C" w:rsidRPr="6D505201">
              <w:rPr>
                <w:rFonts w:ascii="Arial Narrow" w:hAnsi="Arial Narrow"/>
                <w:color w:val="000000" w:themeColor="text1"/>
                <w:lang w:val="es-CO"/>
              </w:rPr>
              <w:t xml:space="preserve">                                                        </w:t>
            </w:r>
            <w:r w:rsidR="00C01CD2">
              <w:rPr>
                <w:rFonts w:ascii="Arial Narrow" w:hAnsi="Arial Narrow"/>
                <w:b/>
                <w:bCs/>
                <w:color w:val="000000" w:themeColor="text1"/>
                <w:lang w:val="es-CO"/>
              </w:rPr>
              <w:t>R</w:t>
            </w:r>
            <w:r w:rsidR="007B143C" w:rsidRPr="6D505201">
              <w:rPr>
                <w:rFonts w:ascii="Arial Narrow" w:hAnsi="Arial Narrow"/>
                <w:b/>
                <w:bCs/>
                <w:color w:val="000000" w:themeColor="text1"/>
                <w:lang w:val="es-CO"/>
              </w:rPr>
              <w:t>esponsable</w:t>
            </w:r>
            <w:r w:rsidRPr="6D505201">
              <w:rPr>
                <w:rFonts w:ascii="Arial Narrow" w:hAnsi="Arial Narrow"/>
                <w:b/>
                <w:bCs/>
                <w:color w:val="000000" w:themeColor="text1"/>
                <w:lang w:val="es-CO"/>
              </w:rPr>
              <w:t xml:space="preserve"> de la ficha:</w:t>
            </w:r>
            <w:r w:rsidR="00AD324C" w:rsidRPr="6D505201">
              <w:rPr>
                <w:rFonts w:ascii="Arial Narrow" w:hAnsi="Arial Narrow"/>
                <w:b/>
                <w:bCs/>
                <w:color w:val="000000" w:themeColor="text1"/>
                <w:lang w:val="es-CO"/>
              </w:rPr>
              <w:t xml:space="preserve"> </w:t>
            </w:r>
            <w:r w:rsidR="00AD324C" w:rsidRPr="6D505201">
              <w:rPr>
                <w:rFonts w:ascii="Arial Narrow" w:hAnsi="Arial Narrow"/>
                <w:color w:val="000000" w:themeColor="text1"/>
                <w:lang w:val="es-CO"/>
              </w:rPr>
              <w:t xml:space="preserve"> </w:t>
            </w:r>
            <w:r w:rsidR="00C01CD2">
              <w:rPr>
                <w:rFonts w:ascii="Arial Narrow" w:hAnsi="Arial Narrow"/>
                <w:color w:val="000000" w:themeColor="text1"/>
                <w:lang w:val="es-CO"/>
              </w:rPr>
              <w:t>Paola Andrea Ruiz González</w:t>
            </w:r>
            <w:r w:rsidR="00884359" w:rsidRPr="6D505201">
              <w:rPr>
                <w:rFonts w:ascii="Arial Narrow" w:hAnsi="Arial Narrow"/>
                <w:color w:val="000000" w:themeColor="text1"/>
                <w:lang w:val="es-CO"/>
              </w:rPr>
              <w:t xml:space="preserve"> </w:t>
            </w:r>
          </w:p>
        </w:tc>
      </w:tr>
      <w:tr w:rsidR="00392BD5" w:rsidRPr="007F2B6C" w14:paraId="49A0DD11" w14:textId="77777777" w:rsidTr="33E7A172">
        <w:trPr>
          <w:gridAfter w:val="1"/>
          <w:wAfter w:w="6" w:type="pct"/>
          <w:trHeight w:val="319"/>
        </w:trPr>
        <w:tc>
          <w:tcPr>
            <w:tcW w:w="4994" w:type="pct"/>
            <w:tcBorders>
              <w:top w:val="single" w:sz="18" w:space="0" w:color="000000" w:themeColor="text1"/>
              <w:bottom w:val="single" w:sz="8" w:space="0" w:color="000000" w:themeColor="text1"/>
            </w:tcBorders>
          </w:tcPr>
          <w:p w14:paraId="4EAFCEE4" w14:textId="77777777" w:rsidR="000E3478" w:rsidRPr="007F2B6C" w:rsidRDefault="000E3478" w:rsidP="0096478A">
            <w:pPr>
              <w:pStyle w:val="TableParagraph"/>
              <w:ind w:left="1658" w:right="1692"/>
              <w:jc w:val="center"/>
              <w:rPr>
                <w:rFonts w:ascii="Arial Narrow" w:hAnsi="Arial Narrow"/>
                <w:b/>
                <w:color w:val="000000" w:themeColor="text1"/>
                <w:lang w:val="es-CO"/>
              </w:rPr>
            </w:pPr>
            <w:r w:rsidRPr="007F2B6C">
              <w:rPr>
                <w:rFonts w:ascii="Arial Narrow" w:hAnsi="Arial Narrow"/>
                <w:b/>
                <w:color w:val="000000" w:themeColor="text1"/>
                <w:lang w:val="es-CO"/>
              </w:rPr>
              <w:t>Datos del proceso</w:t>
            </w:r>
          </w:p>
        </w:tc>
      </w:tr>
      <w:tr w:rsidR="00392BD5" w:rsidRPr="007F2B6C" w14:paraId="679CA56C" w14:textId="77777777" w:rsidTr="33E7A172">
        <w:trPr>
          <w:gridAfter w:val="1"/>
          <w:wAfter w:w="6" w:type="pct"/>
          <w:trHeight w:val="4440"/>
        </w:trPr>
        <w:tc>
          <w:tcPr>
            <w:tcW w:w="4994" w:type="pct"/>
            <w:tcBorders>
              <w:top w:val="single" w:sz="8" w:space="0" w:color="000000" w:themeColor="text1"/>
              <w:bottom w:val="single" w:sz="18" w:space="0" w:color="000000" w:themeColor="text1"/>
            </w:tcBorders>
          </w:tcPr>
          <w:p w14:paraId="598944DF" w14:textId="636AE4F0" w:rsidR="009D509B" w:rsidRPr="00E9494F" w:rsidRDefault="009D509B" w:rsidP="00E9494F">
            <w:pPr>
              <w:pStyle w:val="TableParagraph"/>
              <w:tabs>
                <w:tab w:val="left" w:pos="3666"/>
                <w:tab w:val="left" w:pos="6712"/>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 xml:space="preserve">Código único del proceso     </w:t>
            </w:r>
            <w:r w:rsidR="00333029" w:rsidRPr="007F2B6C">
              <w:rPr>
                <w:rFonts w:ascii="Arial Narrow" w:hAnsi="Arial Narrow"/>
                <w:b/>
                <w:color w:val="000000" w:themeColor="text1"/>
                <w:lang w:val="es-CO"/>
              </w:rPr>
              <w:t xml:space="preserve">                   </w:t>
            </w:r>
            <w:r w:rsidRPr="007F2B6C">
              <w:rPr>
                <w:rFonts w:ascii="Arial Narrow" w:hAnsi="Arial Narrow"/>
                <w:b/>
                <w:color w:val="000000" w:themeColor="text1"/>
                <w:lang w:val="es-CO"/>
              </w:rPr>
              <w:t>Fecha de los hechos</w:t>
            </w:r>
            <w:r w:rsidRPr="007F2B6C">
              <w:rPr>
                <w:rFonts w:ascii="Arial Narrow" w:hAnsi="Arial Narrow"/>
                <w:b/>
                <w:color w:val="000000" w:themeColor="text1"/>
                <w:lang w:val="es-CO"/>
              </w:rPr>
              <w:tab/>
            </w:r>
            <w:r w:rsidR="00C6356F" w:rsidRPr="007F2B6C">
              <w:rPr>
                <w:rFonts w:ascii="Arial Narrow" w:hAnsi="Arial Narrow"/>
                <w:b/>
                <w:color w:val="000000" w:themeColor="text1"/>
                <w:lang w:val="es-CO"/>
              </w:rPr>
              <w:t xml:space="preserve">  </w:t>
            </w:r>
            <w:r w:rsidRPr="007F2B6C">
              <w:rPr>
                <w:rFonts w:ascii="Arial Narrow" w:hAnsi="Arial Narrow"/>
                <w:b/>
                <w:color w:val="000000" w:themeColor="text1"/>
                <w:lang w:val="es-CO"/>
              </w:rPr>
              <w:t xml:space="preserve"> Tipo de acción o medio de control</w:t>
            </w:r>
            <w:r w:rsidR="00FD007C" w:rsidRPr="007F2B6C">
              <w:rPr>
                <w:rFonts w:ascii="Arial Narrow" w:hAnsi="Arial Narrow"/>
                <w:b/>
                <w:color w:val="000000" w:themeColor="text1"/>
                <w:lang w:val="es-CO"/>
              </w:rPr>
              <w:t xml:space="preserve">           </w:t>
            </w:r>
            <w:r w:rsidR="0059395B" w:rsidRPr="0059395B">
              <w:rPr>
                <w:rFonts w:ascii="Arial Narrow" w:eastAsia="Calibri" w:hAnsi="Arial Narrow"/>
                <w:bCs/>
                <w:color w:val="000000" w:themeColor="text1"/>
                <w:lang w:val="es-CO"/>
              </w:rPr>
              <w:t>25000233600020230038900</w:t>
            </w:r>
            <w:r w:rsidR="00FB4EED" w:rsidRPr="007F2B6C">
              <w:rPr>
                <w:rFonts w:ascii="Arial Narrow" w:eastAsia="Calibri" w:hAnsi="Arial Narrow"/>
                <w:bCs/>
                <w:color w:val="000000" w:themeColor="text1"/>
                <w:lang w:val="es-CO"/>
              </w:rPr>
              <w:t xml:space="preserve">                  </w:t>
            </w:r>
            <w:r w:rsidR="00D902E5" w:rsidRPr="007F2B6C">
              <w:rPr>
                <w:rFonts w:ascii="Arial Narrow" w:hAnsi="Arial Narrow"/>
              </w:rPr>
              <w:t xml:space="preserve"> </w:t>
            </w:r>
            <w:r w:rsidR="001A14B4">
              <w:rPr>
                <w:rFonts w:ascii="Arial Narrow" w:hAnsi="Arial Narrow"/>
              </w:rPr>
              <w:t xml:space="preserve">       </w:t>
            </w:r>
            <w:r w:rsidR="00A64321">
              <w:rPr>
                <w:rFonts w:ascii="Arial Narrow" w:hAnsi="Arial Narrow"/>
              </w:rPr>
              <w:t xml:space="preserve">         </w:t>
            </w:r>
            <w:r w:rsidR="001A14B4">
              <w:rPr>
                <w:rFonts w:ascii="Arial Narrow" w:hAnsi="Arial Narrow"/>
              </w:rPr>
              <w:t>2</w:t>
            </w:r>
            <w:r w:rsidR="00A55652">
              <w:rPr>
                <w:rFonts w:ascii="Arial Narrow" w:hAnsi="Arial Narrow"/>
              </w:rPr>
              <w:t>8</w:t>
            </w:r>
            <w:r w:rsidR="001A14B4">
              <w:rPr>
                <w:rFonts w:ascii="Arial Narrow" w:hAnsi="Arial Narrow"/>
              </w:rPr>
              <w:t>/0</w:t>
            </w:r>
            <w:r w:rsidR="00A55652">
              <w:rPr>
                <w:rFonts w:ascii="Arial Narrow" w:hAnsi="Arial Narrow"/>
              </w:rPr>
              <w:t>5</w:t>
            </w:r>
            <w:r w:rsidR="001A14B4">
              <w:rPr>
                <w:rFonts w:ascii="Arial Narrow" w:hAnsi="Arial Narrow"/>
              </w:rPr>
              <w:t>/</w:t>
            </w:r>
            <w:r w:rsidR="003532F0" w:rsidRPr="003532F0">
              <w:rPr>
                <w:rFonts w:ascii="Arial Narrow" w:hAnsi="Arial Narrow"/>
              </w:rPr>
              <w:t xml:space="preserve">2021 </w:t>
            </w:r>
            <w:r w:rsidR="003532F0">
              <w:rPr>
                <w:rFonts w:ascii="Arial Narrow" w:hAnsi="Arial Narrow"/>
              </w:rPr>
              <w:t xml:space="preserve">                           </w:t>
            </w:r>
            <w:r w:rsidR="001A14B4">
              <w:rPr>
                <w:rFonts w:ascii="Arial Narrow" w:hAnsi="Arial Narrow"/>
              </w:rPr>
              <w:t xml:space="preserve">  </w:t>
            </w:r>
            <w:r w:rsidR="00E17E32">
              <w:rPr>
                <w:rFonts w:ascii="Arial Narrow" w:hAnsi="Arial Narrow"/>
              </w:rPr>
              <w:t xml:space="preserve">       </w:t>
            </w:r>
            <w:r w:rsidR="00A64321">
              <w:rPr>
                <w:rFonts w:ascii="Arial Narrow" w:hAnsi="Arial Narrow"/>
              </w:rPr>
              <w:t xml:space="preserve">  </w:t>
            </w:r>
            <w:r w:rsidR="00947114">
              <w:rPr>
                <w:rFonts w:ascii="Arial Narrow" w:hAnsi="Arial Narrow"/>
              </w:rPr>
              <w:t>Controversias Contractuales</w:t>
            </w:r>
          </w:p>
          <w:p w14:paraId="02240BD0" w14:textId="3DA48A13"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3BE5D426" w14:textId="77777777"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661ADCD3" w14:textId="2E5B6C61" w:rsidR="00EA3A1B" w:rsidRPr="00312380" w:rsidRDefault="009D509B" w:rsidP="00312380">
            <w:pPr>
              <w:pStyle w:val="TableParagraph"/>
              <w:tabs>
                <w:tab w:val="left" w:pos="10072"/>
              </w:tabs>
              <w:ind w:left="304" w:right="704"/>
              <w:rPr>
                <w:rFonts w:ascii="Arial Narrow" w:hAnsi="Arial Narrow"/>
                <w:bCs/>
                <w:color w:val="000000" w:themeColor="text1"/>
              </w:rPr>
            </w:pPr>
            <w:r w:rsidRPr="007F2B6C">
              <w:rPr>
                <w:rFonts w:ascii="Arial Narrow" w:hAnsi="Arial Narrow"/>
                <w:b/>
                <w:color w:val="000000" w:themeColor="text1"/>
                <w:lang w:val="es-CO"/>
              </w:rPr>
              <w:t>Despacho Actual</w:t>
            </w:r>
            <w:r w:rsidRPr="007F2B6C">
              <w:rPr>
                <w:rFonts w:ascii="Arial Narrow" w:hAnsi="Arial Narrow"/>
                <w:bCs/>
                <w:color w:val="000000" w:themeColor="text1"/>
                <w:lang w:val="es-CO"/>
              </w:rPr>
              <w:t xml:space="preserve">: </w:t>
            </w:r>
            <w:r w:rsidR="00312380">
              <w:t xml:space="preserve"> </w:t>
            </w:r>
            <w:r w:rsidR="00312380" w:rsidRPr="00312380">
              <w:rPr>
                <w:rFonts w:ascii="Arial Narrow" w:hAnsi="Arial Narrow"/>
                <w:bCs/>
                <w:color w:val="000000" w:themeColor="text1"/>
              </w:rPr>
              <w:t>TRIBUNAL ADMINISTRATIVO DE CUNDINAMARCA</w:t>
            </w:r>
            <w:r w:rsidR="00312380">
              <w:rPr>
                <w:rFonts w:ascii="Arial Narrow" w:hAnsi="Arial Narrow"/>
                <w:bCs/>
                <w:color w:val="000000" w:themeColor="text1"/>
              </w:rPr>
              <w:t xml:space="preserve"> - </w:t>
            </w:r>
            <w:r w:rsidR="00312380" w:rsidRPr="00312380">
              <w:rPr>
                <w:rFonts w:ascii="Arial Narrow" w:hAnsi="Arial Narrow"/>
                <w:bCs/>
                <w:color w:val="000000" w:themeColor="text1"/>
              </w:rPr>
              <w:t>SECCIÓN TERCERA</w:t>
            </w:r>
          </w:p>
          <w:p w14:paraId="3699F5D0" w14:textId="77777777" w:rsidR="00954430" w:rsidRPr="007F2B6C" w:rsidRDefault="00954430" w:rsidP="0096478A">
            <w:pPr>
              <w:pStyle w:val="TableParagraph"/>
              <w:tabs>
                <w:tab w:val="left" w:pos="10072"/>
              </w:tabs>
              <w:ind w:left="304" w:right="704"/>
              <w:rPr>
                <w:rFonts w:ascii="Arial Narrow" w:hAnsi="Arial Narrow"/>
                <w:b/>
                <w:color w:val="000000" w:themeColor="text1"/>
                <w:lang w:val="es-CO"/>
              </w:rPr>
            </w:pPr>
          </w:p>
          <w:p w14:paraId="61797F53" w14:textId="1CC3E135" w:rsidR="009D509B" w:rsidRPr="007F2B6C" w:rsidRDefault="009D509B" w:rsidP="0096478A">
            <w:pPr>
              <w:pStyle w:val="TableParagraph"/>
              <w:tabs>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Partes:</w:t>
            </w:r>
          </w:p>
          <w:p w14:paraId="21A366E7" w14:textId="77777777" w:rsidR="00954430" w:rsidRPr="007F2B6C" w:rsidRDefault="00954430" w:rsidP="0096478A">
            <w:pPr>
              <w:pStyle w:val="TableParagraph"/>
              <w:tabs>
                <w:tab w:val="left" w:pos="10072"/>
              </w:tabs>
              <w:ind w:left="304" w:right="704"/>
              <w:rPr>
                <w:rFonts w:ascii="Arial Narrow" w:hAnsi="Arial Narrow"/>
                <w:b/>
                <w:color w:val="000000" w:themeColor="text1"/>
                <w:lang w:val="es-CO"/>
              </w:rPr>
            </w:pPr>
          </w:p>
          <w:p w14:paraId="3A3EE5B1" w14:textId="570D1861" w:rsidR="009209F6" w:rsidRPr="009209F6" w:rsidRDefault="005A5D7E" w:rsidP="009209F6">
            <w:pPr>
              <w:pStyle w:val="TableParagraph"/>
              <w:tabs>
                <w:tab w:val="left" w:pos="10072"/>
              </w:tabs>
              <w:ind w:left="304" w:right="704"/>
              <w:rPr>
                <w:rFonts w:ascii="Arial Narrow" w:hAnsi="Arial Narrow"/>
                <w:color w:val="000000" w:themeColor="text1"/>
                <w:lang w:val="es-CO"/>
              </w:rPr>
            </w:pPr>
            <w:r w:rsidRPr="007F2B6C">
              <w:rPr>
                <w:rFonts w:ascii="Arial Narrow" w:hAnsi="Arial Narrow"/>
                <w:b/>
                <w:color w:val="000000" w:themeColor="text1"/>
                <w:lang w:val="es-CO"/>
              </w:rPr>
              <w:t>Demandante</w:t>
            </w:r>
            <w:r w:rsidR="009209F6">
              <w:rPr>
                <w:rFonts w:ascii="Arial Narrow" w:hAnsi="Arial Narrow"/>
                <w:b/>
                <w:color w:val="000000" w:themeColor="text1"/>
                <w:lang w:val="es-CO"/>
              </w:rPr>
              <w:t>s</w:t>
            </w:r>
            <w:r w:rsidR="009D509B" w:rsidRPr="007F2B6C">
              <w:rPr>
                <w:rFonts w:ascii="Arial Narrow" w:hAnsi="Arial Narrow"/>
                <w:b/>
                <w:color w:val="000000" w:themeColor="text1"/>
                <w:lang w:val="es-CO"/>
              </w:rPr>
              <w:t>:</w:t>
            </w:r>
            <w:r w:rsidR="009D509B" w:rsidRPr="007F2B6C">
              <w:rPr>
                <w:rFonts w:ascii="Arial Narrow" w:hAnsi="Arial Narrow"/>
                <w:color w:val="000000" w:themeColor="text1"/>
                <w:lang w:val="es-CO"/>
              </w:rPr>
              <w:t xml:space="preserve">  </w:t>
            </w:r>
            <w:r w:rsidR="00954430" w:rsidRPr="007F2B6C">
              <w:rPr>
                <w:rFonts w:ascii="Arial Narrow" w:hAnsi="Arial Narrow"/>
                <w:color w:val="000000" w:themeColor="text1"/>
                <w:lang w:val="es-CO"/>
              </w:rPr>
              <w:t xml:space="preserve">  </w:t>
            </w:r>
            <w:r w:rsidR="009209F6" w:rsidRPr="009209F6">
              <w:rPr>
                <w:rFonts w:ascii="Arial Narrow" w:hAnsi="Arial Narrow"/>
                <w:color w:val="000000" w:themeColor="text1"/>
                <w:lang w:val="es-CO"/>
              </w:rPr>
              <w:t xml:space="preserve">FIDUCIARIA LA PREVISORA S.A – FIDUPREVISORA S.A. – </w:t>
            </w:r>
          </w:p>
          <w:p w14:paraId="5A0613B1" w14:textId="77777777" w:rsidR="009209F6" w:rsidRDefault="009209F6" w:rsidP="009209F6">
            <w:pPr>
              <w:pStyle w:val="TableParagraph"/>
              <w:tabs>
                <w:tab w:val="left" w:pos="10072"/>
              </w:tabs>
              <w:ind w:left="304" w:right="704"/>
              <w:rPr>
                <w:rFonts w:ascii="Arial Narrow" w:hAnsi="Arial Narrow"/>
                <w:color w:val="000000" w:themeColor="text1"/>
                <w:lang w:val="es-CO"/>
              </w:rPr>
            </w:pPr>
            <w:r>
              <w:rPr>
                <w:rFonts w:ascii="Arial Narrow" w:hAnsi="Arial Narrow"/>
                <w:color w:val="000000" w:themeColor="text1"/>
                <w:lang w:val="es-CO"/>
              </w:rPr>
              <w:t xml:space="preserve">                             </w:t>
            </w:r>
            <w:r w:rsidRPr="009209F6">
              <w:rPr>
                <w:rFonts w:ascii="Arial Narrow" w:hAnsi="Arial Narrow"/>
                <w:color w:val="000000" w:themeColor="text1"/>
                <w:lang w:val="es-CO"/>
              </w:rPr>
              <w:t>FIDUCIARIA COLOMBIANA DE COMERCIO EXTERIOR FIDUCOLDEX S.A.</w:t>
            </w:r>
            <w:r>
              <w:rPr>
                <w:rFonts w:ascii="Arial Narrow" w:hAnsi="Arial Narrow"/>
                <w:color w:val="000000" w:themeColor="text1"/>
                <w:lang w:val="es-CO"/>
              </w:rPr>
              <w:t xml:space="preserve"> </w:t>
            </w:r>
          </w:p>
          <w:p w14:paraId="19FE8B39" w14:textId="205E270E" w:rsidR="009209F6" w:rsidRPr="009209F6" w:rsidRDefault="009209F6" w:rsidP="009209F6">
            <w:pPr>
              <w:pStyle w:val="TableParagraph"/>
              <w:tabs>
                <w:tab w:val="left" w:pos="10072"/>
              </w:tabs>
              <w:ind w:left="304" w:right="704"/>
              <w:rPr>
                <w:rFonts w:ascii="Arial Narrow" w:hAnsi="Arial Narrow"/>
                <w:color w:val="000000" w:themeColor="text1"/>
                <w:lang w:val="es-CO"/>
              </w:rPr>
            </w:pPr>
            <w:r>
              <w:rPr>
                <w:rFonts w:ascii="Arial Narrow" w:hAnsi="Arial Narrow"/>
                <w:color w:val="000000" w:themeColor="text1"/>
                <w:lang w:val="es-CO"/>
              </w:rPr>
              <w:t xml:space="preserve">                             (Integrantes del CONSOCIO SAYP 2011)</w:t>
            </w:r>
          </w:p>
          <w:p w14:paraId="0D168A97" w14:textId="552FCDF7" w:rsidR="009D509B" w:rsidRPr="007F2B6C" w:rsidRDefault="009D509B" w:rsidP="0096478A">
            <w:pPr>
              <w:pStyle w:val="TableParagraph"/>
              <w:tabs>
                <w:tab w:val="left" w:pos="10072"/>
              </w:tabs>
              <w:ind w:left="304" w:right="704"/>
              <w:rPr>
                <w:rFonts w:ascii="Arial Narrow" w:hAnsi="Arial Narrow"/>
                <w:bCs/>
                <w:color w:val="000000" w:themeColor="text1"/>
              </w:rPr>
            </w:pPr>
          </w:p>
          <w:p w14:paraId="444F3E8B" w14:textId="7A38B3A1" w:rsidR="00E43C7C" w:rsidRPr="007F2B6C" w:rsidRDefault="005A5D7E" w:rsidP="00814CB0">
            <w:pPr>
              <w:pStyle w:val="TableParagraph"/>
              <w:tabs>
                <w:tab w:val="left" w:pos="10072"/>
              </w:tabs>
              <w:ind w:left="1723" w:right="704" w:hanging="1417"/>
              <w:rPr>
                <w:rFonts w:ascii="Arial Narrow" w:hAnsi="Arial Narrow"/>
                <w:bCs/>
                <w:color w:val="000000" w:themeColor="text1"/>
              </w:rPr>
            </w:pPr>
            <w:r w:rsidRPr="007F2B6C">
              <w:rPr>
                <w:rFonts w:ascii="Arial Narrow" w:hAnsi="Arial Narrow"/>
                <w:b/>
                <w:color w:val="000000" w:themeColor="text1"/>
              </w:rPr>
              <w:t>Demandado</w:t>
            </w:r>
            <w:r w:rsidR="00EA3A1B" w:rsidRPr="007F2B6C">
              <w:rPr>
                <w:rFonts w:ascii="Arial Narrow" w:hAnsi="Arial Narrow"/>
                <w:b/>
                <w:color w:val="000000" w:themeColor="text1"/>
              </w:rPr>
              <w:t>s</w:t>
            </w:r>
            <w:r w:rsidR="00954430" w:rsidRPr="007F2B6C">
              <w:rPr>
                <w:rFonts w:ascii="Arial Narrow" w:hAnsi="Arial Narrow"/>
                <w:bCs/>
                <w:color w:val="000000" w:themeColor="text1"/>
              </w:rPr>
              <w:t xml:space="preserve">:     </w:t>
            </w:r>
            <w:r w:rsidR="006D0AE4" w:rsidRPr="006D0AE4">
              <w:rPr>
                <w:rFonts w:ascii="Arial Narrow" w:hAnsi="Arial Narrow"/>
                <w:bCs/>
                <w:color w:val="000000" w:themeColor="text1"/>
              </w:rPr>
              <w:t>ADMINISTRADORA DE RECURSOS DEL SISTEMA GENERAL DE SEGURIDAD SOCIAL EN</w:t>
            </w:r>
            <w:r w:rsidR="00312380">
              <w:rPr>
                <w:rFonts w:ascii="Arial Narrow" w:hAnsi="Arial Narrow"/>
                <w:bCs/>
                <w:color w:val="000000" w:themeColor="text1"/>
              </w:rPr>
              <w:t xml:space="preserve"> </w:t>
            </w:r>
            <w:r w:rsidR="006D0AE4" w:rsidRPr="006D0AE4">
              <w:rPr>
                <w:rFonts w:ascii="Arial Narrow" w:hAnsi="Arial Narrow"/>
                <w:bCs/>
                <w:color w:val="000000" w:themeColor="text1"/>
              </w:rPr>
              <w:t>SALUD -ADRES</w:t>
            </w:r>
          </w:p>
          <w:p w14:paraId="190F091E" w14:textId="44012B3C" w:rsidR="009D509B" w:rsidRPr="007F2B6C" w:rsidRDefault="00E43C7C" w:rsidP="0096478A">
            <w:pPr>
              <w:pStyle w:val="TableParagraph"/>
              <w:tabs>
                <w:tab w:val="left" w:pos="3141"/>
                <w:tab w:val="left" w:pos="5330"/>
                <w:tab w:val="left" w:pos="7314"/>
                <w:tab w:val="left" w:pos="10072"/>
              </w:tabs>
              <w:ind w:left="304" w:right="317" w:hanging="1843"/>
              <w:rPr>
                <w:rFonts w:ascii="Arial Narrow" w:hAnsi="Arial Narrow"/>
                <w:color w:val="000000" w:themeColor="text1"/>
                <w:lang w:val="es-CO"/>
              </w:rPr>
            </w:pPr>
            <w:r w:rsidRPr="007F2B6C">
              <w:rPr>
                <w:rFonts w:ascii="Arial Narrow" w:hAnsi="Arial Narrow"/>
                <w:b/>
                <w:color w:val="000000" w:themeColor="text1"/>
                <w:lang w:val="es-CO"/>
              </w:rPr>
              <w:t xml:space="preserve"> </w:t>
            </w:r>
          </w:p>
          <w:p w14:paraId="4D46876F" w14:textId="35B0B9F6" w:rsidR="003E0683" w:rsidRDefault="009D509B" w:rsidP="003E0683">
            <w:pPr>
              <w:pStyle w:val="TableParagraph"/>
              <w:tabs>
                <w:tab w:val="left" w:pos="10072"/>
              </w:tabs>
              <w:ind w:left="1723" w:right="704" w:hanging="1417"/>
              <w:jc w:val="both"/>
              <w:rPr>
                <w:rFonts w:ascii="Arial Narrow" w:hAnsi="Arial Narrow"/>
                <w:color w:val="000000" w:themeColor="text1"/>
                <w:lang w:val="es-CO"/>
              </w:rPr>
            </w:pPr>
            <w:r w:rsidRPr="007F2B6C">
              <w:rPr>
                <w:rFonts w:ascii="Arial Narrow" w:hAnsi="Arial Narrow"/>
                <w:b/>
                <w:color w:val="000000" w:themeColor="text1"/>
                <w:lang w:val="es-CO"/>
              </w:rPr>
              <w:t>Cuantía</w:t>
            </w:r>
            <w:r w:rsidRPr="007F2B6C">
              <w:rPr>
                <w:rFonts w:ascii="Arial Narrow" w:hAnsi="Arial Narrow"/>
                <w:color w:val="000000" w:themeColor="text1"/>
                <w:lang w:val="es-CO"/>
              </w:rPr>
              <w:t>:</w:t>
            </w:r>
            <w:r w:rsidR="00751FA6" w:rsidRPr="007F2B6C">
              <w:rPr>
                <w:rFonts w:ascii="Arial Narrow" w:hAnsi="Arial Narrow"/>
                <w:color w:val="000000" w:themeColor="text1"/>
                <w:lang w:val="es-CO"/>
              </w:rPr>
              <w:t xml:space="preserve"> </w:t>
            </w:r>
            <w:r w:rsidR="00BA3A2A" w:rsidRPr="007F2B6C">
              <w:rPr>
                <w:rFonts w:ascii="Arial Narrow" w:hAnsi="Arial Narrow"/>
                <w:color w:val="000000" w:themeColor="text1"/>
                <w:lang w:val="es-CO"/>
              </w:rPr>
              <w:t xml:space="preserve">  </w:t>
            </w:r>
            <w:r w:rsidR="00751FA6" w:rsidRPr="007F2B6C">
              <w:rPr>
                <w:rFonts w:ascii="Arial Narrow" w:hAnsi="Arial Narrow"/>
                <w:color w:val="000000" w:themeColor="text1"/>
                <w:lang w:val="es-CO"/>
              </w:rPr>
              <w:t xml:space="preserve"> </w:t>
            </w:r>
            <w:r w:rsidR="00C72C6E" w:rsidRPr="007F2B6C">
              <w:rPr>
                <w:rFonts w:ascii="Arial Narrow" w:hAnsi="Arial Narrow"/>
                <w:color w:val="000000" w:themeColor="text1"/>
                <w:lang w:val="es-CO"/>
              </w:rPr>
              <w:t xml:space="preserve"> </w:t>
            </w:r>
            <w:r w:rsidR="00C05E24" w:rsidRPr="00C05E24">
              <w:rPr>
                <w:rFonts w:ascii="Cambria" w:eastAsiaTheme="minorHAnsi" w:hAnsi="Cambria" w:cs="Cambria"/>
                <w:sz w:val="24"/>
                <w:szCs w:val="24"/>
                <w:lang w:val="es-CO" w:eastAsia="en-US" w:bidi="ar-SA"/>
              </w:rPr>
              <w:t xml:space="preserve"> </w:t>
            </w:r>
            <w:r w:rsidR="003E0683">
              <w:rPr>
                <w:rFonts w:ascii="Cambria" w:eastAsiaTheme="minorHAnsi" w:hAnsi="Cambria" w:cs="Cambria"/>
                <w:sz w:val="24"/>
                <w:szCs w:val="24"/>
                <w:lang w:val="es-CO" w:eastAsia="en-US" w:bidi="ar-SA"/>
              </w:rPr>
              <w:t xml:space="preserve">        </w:t>
            </w:r>
            <w:r w:rsidR="00C05E24" w:rsidRPr="00C05E24">
              <w:rPr>
                <w:rFonts w:ascii="Arial Narrow" w:hAnsi="Arial Narrow"/>
                <w:color w:val="000000" w:themeColor="text1"/>
                <w:lang w:val="es-CO"/>
              </w:rPr>
              <w:t>MIL TRESCIENTOS CUARENTA MILLONES CIENTO CINCUENTA</w:t>
            </w:r>
            <w:r w:rsidR="0051032F">
              <w:rPr>
                <w:rFonts w:ascii="Arial Narrow" w:hAnsi="Arial Narrow"/>
                <w:color w:val="000000" w:themeColor="text1"/>
                <w:lang w:val="es-CO"/>
              </w:rPr>
              <w:t xml:space="preserve"> </w:t>
            </w:r>
            <w:r w:rsidR="00C05E24" w:rsidRPr="00C05E24">
              <w:rPr>
                <w:rFonts w:ascii="Arial Narrow" w:hAnsi="Arial Narrow"/>
                <w:color w:val="000000" w:themeColor="text1"/>
                <w:lang w:val="es-CO"/>
              </w:rPr>
              <w:t>Y</w:t>
            </w:r>
            <w:r w:rsidR="00C05E24">
              <w:rPr>
                <w:rFonts w:ascii="Arial Narrow" w:hAnsi="Arial Narrow"/>
                <w:color w:val="000000" w:themeColor="text1"/>
                <w:lang w:val="es-CO"/>
              </w:rPr>
              <w:t xml:space="preserve"> </w:t>
            </w:r>
            <w:r w:rsidR="00C05E24" w:rsidRPr="00C05E24">
              <w:rPr>
                <w:rFonts w:ascii="Arial Narrow" w:hAnsi="Arial Narrow"/>
                <w:color w:val="000000" w:themeColor="text1"/>
                <w:lang w:val="es-CO"/>
              </w:rPr>
              <w:t>SEIS MIL OCHOCIENTOS</w:t>
            </w:r>
          </w:p>
          <w:p w14:paraId="33290485" w14:textId="40530DD5" w:rsidR="009D509B" w:rsidRPr="007F2B6C" w:rsidRDefault="00C05E24" w:rsidP="003E0683">
            <w:pPr>
              <w:pStyle w:val="TableParagraph"/>
              <w:tabs>
                <w:tab w:val="left" w:pos="10072"/>
              </w:tabs>
              <w:ind w:left="1723" w:right="704"/>
              <w:jc w:val="both"/>
              <w:rPr>
                <w:rFonts w:ascii="Arial Narrow" w:hAnsi="Arial Narrow"/>
                <w:color w:val="000000" w:themeColor="text1"/>
                <w:lang w:val="es-CO"/>
              </w:rPr>
            </w:pPr>
            <w:r w:rsidRPr="00C05E24">
              <w:rPr>
                <w:rFonts w:ascii="Arial Narrow" w:hAnsi="Arial Narrow"/>
                <w:color w:val="000000" w:themeColor="text1"/>
                <w:lang w:val="es-CO"/>
              </w:rPr>
              <w:t>SETENTA Y CINCO PESOS ($1.340.156.875)</w:t>
            </w:r>
            <w:r w:rsidR="00C63294" w:rsidRPr="00C63294">
              <w:rPr>
                <w:rFonts w:ascii="Arial Narrow" w:hAnsi="Arial Narrow"/>
                <w:color w:val="000000" w:themeColor="text1"/>
                <w:lang w:val="es-CO"/>
              </w:rPr>
              <w:cr/>
            </w:r>
            <w:r w:rsidR="00761B7E" w:rsidRPr="007F2B6C">
              <w:rPr>
                <w:rFonts w:ascii="Arial Narrow" w:hAnsi="Arial Narrow"/>
                <w:color w:val="000000" w:themeColor="text1"/>
                <w:lang w:val="es-CO"/>
              </w:rPr>
              <w:t xml:space="preserve"> </w:t>
            </w:r>
          </w:p>
          <w:p w14:paraId="6335B123" w14:textId="65C0D8C4" w:rsidR="000D7BF5" w:rsidRPr="007F2B6C" w:rsidRDefault="009D509B" w:rsidP="0057562F">
            <w:pPr>
              <w:pStyle w:val="TableParagraph"/>
              <w:tabs>
                <w:tab w:val="left" w:pos="10072"/>
              </w:tabs>
              <w:ind w:left="304" w:right="704"/>
              <w:rPr>
                <w:rFonts w:ascii="Arial Narrow" w:hAnsi="Arial Narrow"/>
                <w:b/>
                <w:color w:val="000000" w:themeColor="text1"/>
                <w:lang w:val="es-CO"/>
              </w:rPr>
            </w:pPr>
            <w:r w:rsidRPr="007F2B6C">
              <w:rPr>
                <w:rFonts w:ascii="Arial Narrow" w:hAnsi="Arial Narrow"/>
                <w:b/>
                <w:color w:val="000000" w:themeColor="text1"/>
                <w:lang w:val="es-CO"/>
              </w:rPr>
              <w:t>OBSERVACIONES:</w:t>
            </w:r>
          </w:p>
          <w:p w14:paraId="42E4DB6D" w14:textId="77777777" w:rsidR="009D509B" w:rsidRPr="007F2B6C" w:rsidRDefault="009D509B" w:rsidP="0096478A">
            <w:pPr>
              <w:pStyle w:val="TableParagraph"/>
              <w:tabs>
                <w:tab w:val="left" w:pos="10072"/>
              </w:tabs>
              <w:ind w:left="304" w:right="704"/>
              <w:rPr>
                <w:rFonts w:ascii="Arial Narrow" w:hAnsi="Arial Narrow"/>
                <w:color w:val="000000" w:themeColor="text1"/>
                <w:lang w:val="es-CO"/>
              </w:rPr>
            </w:pPr>
          </w:p>
          <w:p w14:paraId="60C2CB9F" w14:textId="6809622F" w:rsidR="009D509B" w:rsidRPr="007F2B6C" w:rsidRDefault="009D509B" w:rsidP="0096478A">
            <w:pPr>
              <w:pStyle w:val="TableParagraph"/>
              <w:tabs>
                <w:tab w:val="left" w:pos="2382"/>
                <w:tab w:val="left" w:pos="10072"/>
              </w:tabs>
              <w:ind w:left="304" w:right="704"/>
              <w:rPr>
                <w:rFonts w:ascii="Arial Narrow" w:hAnsi="Arial Narrow"/>
                <w:color w:val="000000" w:themeColor="text1"/>
                <w:lang w:val="es-CO"/>
              </w:rPr>
            </w:pPr>
            <w:r w:rsidRPr="007F2B6C">
              <w:rPr>
                <w:rFonts w:ascii="Arial Narrow" w:hAnsi="Arial Narrow"/>
                <w:b/>
                <w:color w:val="000000" w:themeColor="text1"/>
                <w:lang w:val="es-CO"/>
              </w:rPr>
              <w:t>Estado actual del</w:t>
            </w:r>
            <w:r w:rsidR="00884359">
              <w:rPr>
                <w:rFonts w:ascii="Arial Narrow" w:hAnsi="Arial Narrow"/>
                <w:b/>
                <w:color w:val="000000" w:themeColor="text1"/>
                <w:lang w:val="es-CO"/>
              </w:rPr>
              <w:t xml:space="preserve"> </w:t>
            </w:r>
            <w:r w:rsidR="00884359" w:rsidRPr="003532F0">
              <w:rPr>
                <w:rFonts w:ascii="Arial Narrow" w:hAnsi="Arial Narrow"/>
                <w:b/>
                <w:color w:val="000000" w:themeColor="text1"/>
                <w:lang w:val="es-CO"/>
              </w:rPr>
              <w:t xml:space="preserve">Proceso: </w:t>
            </w:r>
            <w:r w:rsidR="00C6091A" w:rsidRPr="003532F0">
              <w:rPr>
                <w:rFonts w:ascii="Arial Narrow" w:hAnsi="Arial Narrow"/>
                <w:color w:val="000000" w:themeColor="text1"/>
                <w:lang w:val="es-CO"/>
              </w:rPr>
              <w:t xml:space="preserve">Proceso </w:t>
            </w:r>
            <w:r w:rsidRPr="003532F0">
              <w:rPr>
                <w:rFonts w:ascii="Arial Narrow" w:hAnsi="Arial Narrow"/>
                <w:color w:val="000000" w:themeColor="text1"/>
                <w:lang w:val="es-CO"/>
              </w:rPr>
              <w:t xml:space="preserve">judicial </w:t>
            </w:r>
            <w:r w:rsidR="00C6091A" w:rsidRPr="003532F0">
              <w:rPr>
                <w:rFonts w:ascii="Arial Narrow" w:hAnsi="Arial Narrow"/>
                <w:color w:val="000000" w:themeColor="text1"/>
                <w:lang w:val="es-CO"/>
              </w:rPr>
              <w:t>en etapa inicial</w:t>
            </w:r>
          </w:p>
          <w:p w14:paraId="1CBBB1B1" w14:textId="77777777" w:rsidR="000E3478" w:rsidRPr="007F2B6C" w:rsidRDefault="000E3478" w:rsidP="00432907">
            <w:pPr>
              <w:pStyle w:val="TableParagraph"/>
              <w:rPr>
                <w:rFonts w:ascii="Arial Narrow" w:hAnsi="Arial Narrow"/>
                <w:b/>
                <w:color w:val="000000" w:themeColor="text1"/>
                <w:lang w:val="es-CO"/>
              </w:rPr>
            </w:pPr>
          </w:p>
        </w:tc>
      </w:tr>
      <w:tr w:rsidR="00392BD5" w:rsidRPr="007F2B6C" w14:paraId="5F337766" w14:textId="77777777" w:rsidTr="33E7A172">
        <w:trPr>
          <w:gridAfter w:val="1"/>
          <w:wAfter w:w="6" w:type="pct"/>
          <w:trHeight w:val="319"/>
        </w:trPr>
        <w:tc>
          <w:tcPr>
            <w:tcW w:w="4994" w:type="pct"/>
            <w:tcBorders>
              <w:top w:val="single" w:sz="18" w:space="0" w:color="000000" w:themeColor="text1"/>
              <w:bottom w:val="single" w:sz="8" w:space="0" w:color="000000" w:themeColor="text1"/>
            </w:tcBorders>
          </w:tcPr>
          <w:p w14:paraId="7F82FD11" w14:textId="020FF2DB" w:rsidR="000E3478" w:rsidRPr="007F2B6C" w:rsidRDefault="00FB7C0D" w:rsidP="0096478A">
            <w:pPr>
              <w:pStyle w:val="TableParagraph"/>
              <w:ind w:left="1658" w:right="1692"/>
              <w:jc w:val="center"/>
              <w:rPr>
                <w:rFonts w:ascii="Arial Narrow" w:hAnsi="Arial Narrow"/>
                <w:b/>
                <w:color w:val="000000" w:themeColor="text1"/>
                <w:lang w:val="es-CO"/>
              </w:rPr>
            </w:pPr>
            <w:r>
              <w:rPr>
                <w:rFonts w:ascii="Arial Narrow" w:hAnsi="Arial Narrow"/>
                <w:b/>
                <w:color w:val="000000" w:themeColor="text1"/>
                <w:lang w:val="es-CO"/>
              </w:rPr>
              <w:t>CUESTIÓN PREVIA</w:t>
            </w:r>
          </w:p>
        </w:tc>
      </w:tr>
      <w:tr w:rsidR="00FB7C0D" w:rsidRPr="007F2B6C" w14:paraId="271D42E7" w14:textId="77777777" w:rsidTr="33E7A172">
        <w:trPr>
          <w:gridAfter w:val="1"/>
          <w:wAfter w:w="6" w:type="pct"/>
          <w:trHeight w:val="319"/>
        </w:trPr>
        <w:tc>
          <w:tcPr>
            <w:tcW w:w="4994" w:type="pct"/>
            <w:tcBorders>
              <w:top w:val="single" w:sz="18" w:space="0" w:color="000000" w:themeColor="text1"/>
              <w:bottom w:val="single" w:sz="8" w:space="0" w:color="000000" w:themeColor="text1"/>
            </w:tcBorders>
          </w:tcPr>
          <w:p w14:paraId="0F6C0111" w14:textId="77777777" w:rsidR="003015C4" w:rsidRDefault="003015C4" w:rsidP="00FB7C0D">
            <w:pPr>
              <w:pStyle w:val="Prrafodelista"/>
              <w:ind w:left="589" w:right="567"/>
              <w:jc w:val="both"/>
              <w:rPr>
                <w:rFonts w:ascii="Arial Narrow" w:hAnsi="Arial Narrow"/>
                <w:bCs/>
                <w:color w:val="000000" w:themeColor="text1"/>
                <w:lang w:val="es-CO"/>
              </w:rPr>
            </w:pPr>
          </w:p>
          <w:p w14:paraId="3150B934" w14:textId="5AF7D4EE" w:rsidR="003015C4" w:rsidRDefault="003015C4" w:rsidP="003015C4">
            <w:pPr>
              <w:pStyle w:val="Prrafodelista"/>
              <w:numPr>
                <w:ilvl w:val="0"/>
                <w:numId w:val="2"/>
              </w:numPr>
              <w:ind w:right="567"/>
              <w:jc w:val="both"/>
              <w:rPr>
                <w:rFonts w:ascii="Arial Narrow" w:hAnsi="Arial Narrow"/>
                <w:b/>
                <w:color w:val="000000" w:themeColor="text1"/>
                <w:lang w:val="es-CO"/>
              </w:rPr>
            </w:pPr>
            <w:r>
              <w:rPr>
                <w:rFonts w:ascii="Arial Narrow" w:hAnsi="Arial Narrow"/>
                <w:b/>
                <w:color w:val="000000" w:themeColor="text1"/>
                <w:lang w:val="es-CO"/>
              </w:rPr>
              <w:t>Antecedentes</w:t>
            </w:r>
          </w:p>
          <w:p w14:paraId="09FFB1B2" w14:textId="77777777" w:rsidR="003015C4" w:rsidRDefault="003015C4" w:rsidP="00FB7C0D">
            <w:pPr>
              <w:pStyle w:val="Prrafodelista"/>
              <w:ind w:left="589" w:right="567"/>
              <w:jc w:val="both"/>
              <w:rPr>
                <w:rFonts w:ascii="Arial Narrow" w:hAnsi="Arial Narrow"/>
                <w:bCs/>
                <w:color w:val="000000" w:themeColor="text1"/>
                <w:lang w:val="es-CO"/>
              </w:rPr>
            </w:pPr>
          </w:p>
          <w:p w14:paraId="728A28E1" w14:textId="40C98E7C" w:rsidR="00FB7C0D" w:rsidRPr="005154F4" w:rsidRDefault="00FB7C0D" w:rsidP="00FB7C0D">
            <w:pPr>
              <w:pStyle w:val="Prrafodelista"/>
              <w:ind w:left="589" w:right="567"/>
              <w:jc w:val="both"/>
              <w:rPr>
                <w:rFonts w:ascii="Arial Narrow" w:hAnsi="Arial Narrow"/>
                <w:bCs/>
                <w:color w:val="000000" w:themeColor="text1"/>
              </w:rPr>
            </w:pPr>
            <w:r w:rsidRPr="00085E20">
              <w:rPr>
                <w:rFonts w:ascii="Arial Narrow" w:hAnsi="Arial Narrow"/>
                <w:bCs/>
                <w:color w:val="000000" w:themeColor="text1"/>
                <w:lang w:val="es-CO"/>
              </w:rPr>
              <w:t>L</w:t>
            </w:r>
            <w:r w:rsidRPr="00085E20">
              <w:rPr>
                <w:rFonts w:ascii="Arial Narrow" w:hAnsi="Arial Narrow"/>
                <w:bCs/>
                <w:color w:val="000000" w:themeColor="text1"/>
              </w:rPr>
              <w:t>a Agencia Nacional de Defensa Jurídica del Estado</w:t>
            </w:r>
            <w:r>
              <w:rPr>
                <w:rFonts w:ascii="Arial Narrow" w:hAnsi="Arial Narrow"/>
                <w:bCs/>
                <w:color w:val="000000" w:themeColor="text1"/>
              </w:rPr>
              <w:t xml:space="preserve"> (en adelante </w:t>
            </w:r>
            <w:r w:rsidRPr="00085E20">
              <w:rPr>
                <w:rFonts w:ascii="Arial Narrow" w:hAnsi="Arial Narrow"/>
                <w:bCs/>
                <w:color w:val="000000" w:themeColor="text1"/>
              </w:rPr>
              <w:t>ANDJE</w:t>
            </w:r>
            <w:r>
              <w:rPr>
                <w:rFonts w:ascii="Arial Narrow" w:hAnsi="Arial Narrow"/>
                <w:bCs/>
                <w:color w:val="000000" w:themeColor="text1"/>
              </w:rPr>
              <w:t>)</w:t>
            </w:r>
            <w:r w:rsidRPr="00085E20">
              <w:rPr>
                <w:rFonts w:ascii="Arial Narrow" w:hAnsi="Arial Narrow"/>
                <w:bCs/>
                <w:color w:val="000000" w:themeColor="text1"/>
              </w:rPr>
              <w:t xml:space="preserve"> conminó a la ADRES para acudir ante el mecanismo de mediación previsto en el artículo </w:t>
            </w:r>
            <w:r>
              <w:rPr>
                <w:rFonts w:ascii="Arial Narrow" w:hAnsi="Arial Narrow"/>
                <w:bCs/>
                <w:color w:val="000000" w:themeColor="text1"/>
              </w:rPr>
              <w:t>4</w:t>
            </w:r>
            <w:r>
              <w:rPr>
                <w:rStyle w:val="Refdenotaalpie"/>
                <w:rFonts w:ascii="Arial Narrow" w:hAnsi="Arial Narrow"/>
                <w:bCs/>
                <w:color w:val="000000" w:themeColor="text1"/>
              </w:rPr>
              <w:footnoteReference w:id="2"/>
            </w:r>
            <w:r w:rsidRPr="00085E20">
              <w:rPr>
                <w:rFonts w:ascii="Arial Narrow" w:hAnsi="Arial Narrow"/>
                <w:bCs/>
                <w:color w:val="000000" w:themeColor="text1"/>
              </w:rPr>
              <w:t xml:space="preserve"> del</w:t>
            </w:r>
            <w:r w:rsidRPr="00085E20">
              <w:rPr>
                <w:rFonts w:ascii="Arial Narrow" w:hAnsi="Arial Narrow"/>
                <w:b/>
                <w:i/>
                <w:iCs/>
                <w:color w:val="000000" w:themeColor="text1"/>
              </w:rPr>
              <w:t xml:space="preserve"> </w:t>
            </w:r>
            <w:r w:rsidRPr="00085E20">
              <w:rPr>
                <w:rFonts w:ascii="Arial Narrow" w:hAnsi="Arial Narrow"/>
                <w:bCs/>
                <w:color w:val="000000" w:themeColor="text1"/>
              </w:rPr>
              <w:t>Decreto 0104 de 2025</w:t>
            </w:r>
            <w:r w:rsidRPr="00085E20">
              <w:rPr>
                <w:rStyle w:val="Refdenotaalpie"/>
                <w:rFonts w:ascii="Arial Narrow" w:hAnsi="Arial Narrow"/>
                <w:bCs/>
                <w:color w:val="000000" w:themeColor="text1"/>
              </w:rPr>
              <w:footnoteReference w:id="3"/>
            </w:r>
            <w:r>
              <w:rPr>
                <w:rFonts w:ascii="Arial Narrow" w:hAnsi="Arial Narrow"/>
                <w:bCs/>
                <w:color w:val="000000" w:themeColor="text1"/>
              </w:rPr>
              <w:t xml:space="preserve"> que modificó el artículo </w:t>
            </w:r>
            <w:r w:rsidRPr="00085E20">
              <w:rPr>
                <w:rFonts w:ascii="Arial Narrow" w:hAnsi="Arial Narrow"/>
                <w:bCs/>
                <w:color w:val="000000" w:themeColor="text1"/>
              </w:rPr>
              <w:t>2.2.3.2.2.1.1</w:t>
            </w:r>
            <w:r>
              <w:rPr>
                <w:rFonts w:ascii="Arial Narrow" w:hAnsi="Arial Narrow"/>
                <w:bCs/>
                <w:color w:val="000000" w:themeColor="text1"/>
              </w:rPr>
              <w:t xml:space="preserve">. del </w:t>
            </w:r>
            <w:r w:rsidRPr="006C262D">
              <w:rPr>
                <w:rFonts w:ascii="Arial Narrow" w:hAnsi="Arial Narrow"/>
                <w:color w:val="000000" w:themeColor="text1"/>
              </w:rPr>
              <w:t>Decreto 1069 de 2015</w:t>
            </w:r>
            <w:r w:rsidRPr="006C262D">
              <w:rPr>
                <w:rStyle w:val="Refdenotaalpie"/>
                <w:rFonts w:ascii="Arial Narrow" w:hAnsi="Arial Narrow"/>
                <w:color w:val="000000" w:themeColor="text1"/>
              </w:rPr>
              <w:footnoteReference w:id="4"/>
            </w:r>
            <w:r>
              <w:rPr>
                <w:rFonts w:ascii="Arial Narrow" w:hAnsi="Arial Narrow"/>
                <w:color w:val="000000" w:themeColor="text1"/>
              </w:rPr>
              <w:t xml:space="preserve"> y en la</w:t>
            </w:r>
            <w:r>
              <w:rPr>
                <w:rFonts w:ascii="Arial Narrow" w:hAnsi="Arial Narrow"/>
                <w:b/>
                <w:i/>
                <w:iCs/>
                <w:color w:val="000000" w:themeColor="text1"/>
              </w:rPr>
              <w:t xml:space="preserve"> </w:t>
            </w:r>
            <w:r w:rsidRPr="00296694">
              <w:rPr>
                <w:rFonts w:ascii="Arial Narrow" w:hAnsi="Arial Narrow"/>
                <w:bCs/>
                <w:color w:val="000000" w:themeColor="text1"/>
              </w:rPr>
              <w:t>Circular Externa N° 16</w:t>
            </w:r>
            <w:r>
              <w:rPr>
                <w:rStyle w:val="Refdenotaalpie"/>
                <w:rFonts w:ascii="Arial Narrow" w:hAnsi="Arial Narrow"/>
                <w:bCs/>
                <w:color w:val="000000" w:themeColor="text1"/>
              </w:rPr>
              <w:footnoteReference w:id="5"/>
            </w:r>
            <w:r>
              <w:rPr>
                <w:rFonts w:ascii="Arial Narrow" w:hAnsi="Arial Narrow"/>
                <w:bCs/>
                <w:color w:val="000000" w:themeColor="text1"/>
              </w:rPr>
              <w:t xml:space="preserve"> expedida por la ANDJE,</w:t>
            </w:r>
            <w:r w:rsidRPr="007A6E25">
              <w:rPr>
                <w:rFonts w:ascii="Arial Narrow" w:hAnsi="Arial Narrow"/>
                <w:b/>
                <w:i/>
                <w:iCs/>
                <w:color w:val="000000" w:themeColor="text1"/>
              </w:rPr>
              <w:t xml:space="preserve"> </w:t>
            </w:r>
            <w:r w:rsidRPr="00275D72">
              <w:rPr>
                <w:rFonts w:ascii="Arial Narrow" w:hAnsi="Arial Narrow"/>
                <w:bCs/>
                <w:color w:val="000000" w:themeColor="text1"/>
              </w:rPr>
              <w:t>el cual tiene por</w:t>
            </w:r>
            <w:r w:rsidRPr="007A6E25">
              <w:rPr>
                <w:rFonts w:ascii="Arial Narrow" w:hAnsi="Arial Narrow"/>
                <w:bCs/>
                <w:color w:val="000000" w:themeColor="text1"/>
              </w:rPr>
              <w:t xml:space="preserve"> objeto </w:t>
            </w:r>
            <w:r w:rsidRPr="005154F4">
              <w:rPr>
                <w:rFonts w:ascii="Arial Narrow" w:hAnsi="Arial Narrow"/>
                <w:bCs/>
                <w:color w:val="000000" w:themeColor="text1"/>
              </w:rPr>
              <w:t>resolver los conflictos que se suscitan entre entidades públicas de manera anticipada y superar la conflictividad interinstitucional de manera célere, directa y extraprocesal a través del Sistema de Defensa Jurídica del Estado</w:t>
            </w:r>
            <w:r>
              <w:rPr>
                <w:rFonts w:ascii="Arial Narrow" w:hAnsi="Arial Narrow"/>
                <w:bCs/>
                <w:color w:val="000000" w:themeColor="text1"/>
              </w:rPr>
              <w:t xml:space="preserve"> que fue establecido </w:t>
            </w:r>
            <w:r w:rsidRPr="005154F4">
              <w:rPr>
                <w:rFonts w:ascii="Arial Narrow" w:hAnsi="Arial Narrow"/>
                <w:bCs/>
                <w:color w:val="000000" w:themeColor="text1"/>
              </w:rPr>
              <w:t>en el artículo 206 de la Ley 2294 de 2023</w:t>
            </w:r>
            <w:r>
              <w:rPr>
                <w:rStyle w:val="Refdenotaalpie"/>
                <w:rFonts w:ascii="Arial Narrow" w:hAnsi="Arial Narrow"/>
                <w:bCs/>
                <w:color w:val="000000" w:themeColor="text1"/>
              </w:rPr>
              <w:footnoteReference w:id="6"/>
            </w:r>
            <w:r w:rsidRPr="005154F4">
              <w:rPr>
                <w:rFonts w:ascii="Arial Narrow" w:hAnsi="Arial Narrow"/>
                <w:i/>
                <w:iCs/>
                <w:color w:val="000000" w:themeColor="text1"/>
              </w:rPr>
              <w:t xml:space="preserve">, </w:t>
            </w:r>
            <w:r w:rsidRPr="005154F4">
              <w:rPr>
                <w:rFonts w:ascii="Arial Narrow" w:hAnsi="Arial Narrow"/>
                <w:bCs/>
                <w:color w:val="000000" w:themeColor="text1"/>
              </w:rPr>
              <w:t>que reza.</w:t>
            </w:r>
          </w:p>
          <w:p w14:paraId="394F39B9" w14:textId="77777777" w:rsidR="00FB7C0D" w:rsidRPr="009536EB" w:rsidRDefault="00FB7C0D" w:rsidP="00FB7C0D">
            <w:pPr>
              <w:ind w:right="567"/>
              <w:jc w:val="both"/>
              <w:rPr>
                <w:rFonts w:ascii="Arial Narrow" w:hAnsi="Arial Narrow"/>
                <w:b/>
                <w:color w:val="000000" w:themeColor="text1"/>
                <w:lang w:val="es-CO"/>
              </w:rPr>
            </w:pPr>
          </w:p>
          <w:p w14:paraId="2F663CF5"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Pr>
                <w:rFonts w:ascii="Arial Narrow" w:hAnsi="Arial Narrow"/>
                <w:b/>
                <w:bCs/>
                <w:i/>
                <w:iCs/>
                <w:color w:val="000000" w:themeColor="text1"/>
                <w:sz w:val="20"/>
                <w:szCs w:val="20"/>
                <w:lang w:val="es-CO"/>
              </w:rPr>
              <w:t>“</w:t>
            </w:r>
            <w:r w:rsidRPr="003D2571">
              <w:rPr>
                <w:rFonts w:ascii="Arial Narrow" w:hAnsi="Arial Narrow"/>
                <w:b/>
                <w:bCs/>
                <w:i/>
                <w:iCs/>
                <w:color w:val="000000" w:themeColor="text1"/>
                <w:sz w:val="20"/>
                <w:szCs w:val="20"/>
                <w:lang w:val="es-CO"/>
              </w:rPr>
              <w:t>Artículo 206. Sistema de Defensa Jurídica del Estado</w:t>
            </w:r>
            <w:r w:rsidRPr="003D2571">
              <w:rPr>
                <w:rFonts w:ascii="Arial Narrow" w:hAnsi="Arial Narrow"/>
                <w:bCs/>
                <w:i/>
                <w:iCs/>
                <w:color w:val="000000" w:themeColor="text1"/>
                <w:sz w:val="20"/>
                <w:szCs w:val="20"/>
                <w:lang w:val="es-CO"/>
              </w:rPr>
              <w:t>. Créese el Sistema de Defensa Jurídica del Estado (SDJE) como un conjunto de actores, políticas, estrategias, principios, normas, rutas de articulación e instrumentos jurídicos, técnicos, financieros y gerenciales orientados a garantizar de manera coordinada la eficacia de la política pública del ciclo de defensa jurídica del Estado, en las entidades públicas del orden nacional y territorial, independientemente de su naturaleza y régimen jurídico. </w:t>
            </w:r>
          </w:p>
          <w:p w14:paraId="003D592D"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w:t>
            </w:r>
          </w:p>
          <w:p w14:paraId="4C92C27A"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El SDJE tendrá como coordinador a la Agencia Nacional de Defensa Jurídica del Estado (ANDJE) y tendrá por objeto fortalecer la defensa jurídica del Estado, mejorar las calidades y condiciones de los abogados defensores del Estado, promover estándares y condiciones para el ejercicio de la función de la defensa jurídica del Estado, propiciar la generación y circulación de buenas prácticas y administrar los recursos que permiten hacer una gestión eficiente del ciclo de defensa jurídica, promoviendo la disminución del impacto fiscal derivado de la litigiosidad. </w:t>
            </w:r>
          </w:p>
          <w:p w14:paraId="353BA5D4"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  </w:t>
            </w:r>
          </w:p>
          <w:p w14:paraId="4C558045"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t>Los efectos presupuestales de esta norma deberán ser atendidos dentro del Marco Fiscal de Mediano Plazo y el Marco de Gasto de Mediano Plazo de la entidad y de acuerdo con las disponibilidades presupuestales. </w:t>
            </w:r>
          </w:p>
          <w:p w14:paraId="0726B122" w14:textId="77777777" w:rsidR="00FB7C0D" w:rsidRPr="003D2571"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Cs/>
                <w:i/>
                <w:iCs/>
                <w:color w:val="000000" w:themeColor="text1"/>
                <w:sz w:val="20"/>
                <w:szCs w:val="20"/>
                <w:lang w:val="es-CO"/>
              </w:rPr>
              <w:lastRenderedPageBreak/>
              <w:t>  </w:t>
            </w:r>
          </w:p>
          <w:p w14:paraId="72662590" w14:textId="77777777" w:rsidR="00FB7C0D" w:rsidRDefault="00FB7C0D" w:rsidP="00FB7C0D">
            <w:pPr>
              <w:pStyle w:val="Prrafodelista"/>
              <w:ind w:left="873" w:right="567"/>
              <w:jc w:val="both"/>
              <w:rPr>
                <w:rFonts w:ascii="Arial Narrow" w:hAnsi="Arial Narrow"/>
                <w:bCs/>
                <w:i/>
                <w:iCs/>
                <w:color w:val="000000" w:themeColor="text1"/>
                <w:sz w:val="20"/>
                <w:szCs w:val="20"/>
                <w:lang w:val="es-CO"/>
              </w:rPr>
            </w:pPr>
            <w:r w:rsidRPr="003D2571">
              <w:rPr>
                <w:rFonts w:ascii="Arial Narrow" w:hAnsi="Arial Narrow"/>
                <w:b/>
                <w:bCs/>
                <w:i/>
                <w:iCs/>
                <w:color w:val="000000" w:themeColor="text1"/>
                <w:sz w:val="20"/>
                <w:szCs w:val="20"/>
                <w:lang w:val="es-CO"/>
              </w:rPr>
              <w:t>Parágrafo.</w:t>
            </w:r>
            <w:r w:rsidRPr="003D2571">
              <w:rPr>
                <w:rFonts w:ascii="Arial Narrow" w:hAnsi="Arial Narrow"/>
                <w:bCs/>
                <w:i/>
                <w:iCs/>
                <w:color w:val="000000" w:themeColor="text1"/>
                <w:sz w:val="20"/>
                <w:szCs w:val="20"/>
                <w:lang w:val="es-CO"/>
              </w:rPr>
              <w:t> Se definirá una serie de indicadores de procesos y de resultado que dé cuenta de la efectividad del Sistema de Defensa Jurídica del Estado (SDJE).”</w:t>
            </w:r>
          </w:p>
          <w:p w14:paraId="53BBF8B4" w14:textId="77777777" w:rsidR="00FB7C0D" w:rsidRPr="003D2571" w:rsidRDefault="00FB7C0D" w:rsidP="00FB7C0D">
            <w:pPr>
              <w:pStyle w:val="Prrafodelista"/>
              <w:ind w:left="1156" w:right="567"/>
              <w:jc w:val="both"/>
              <w:rPr>
                <w:rFonts w:ascii="Arial Narrow" w:hAnsi="Arial Narrow"/>
                <w:bCs/>
                <w:i/>
                <w:iCs/>
                <w:color w:val="000000" w:themeColor="text1"/>
                <w:sz w:val="20"/>
                <w:szCs w:val="20"/>
                <w:lang w:val="es-CO"/>
              </w:rPr>
            </w:pPr>
          </w:p>
          <w:p w14:paraId="6D40E0BD" w14:textId="77777777" w:rsidR="00FB7C0D" w:rsidRDefault="00FB7C0D" w:rsidP="00FB7C0D">
            <w:pPr>
              <w:ind w:left="589" w:right="616"/>
              <w:jc w:val="both"/>
              <w:rPr>
                <w:rFonts w:ascii="Arial Narrow" w:hAnsi="Arial Narrow"/>
                <w:bCs/>
                <w:color w:val="000000" w:themeColor="text1"/>
                <w:lang w:val="es-CO"/>
              </w:rPr>
            </w:pPr>
            <w:r w:rsidRPr="00F84C82">
              <w:rPr>
                <w:rFonts w:ascii="Arial Narrow" w:hAnsi="Arial Narrow"/>
                <w:bCs/>
                <w:color w:val="000000" w:themeColor="text1"/>
                <w:lang w:val="es-CO"/>
              </w:rPr>
              <w:t>De acuerdo con lo anterior, la ANDJE requiere conocer los aspectos más relevantes de la demanda y la decisión del Comité de Conciliación frente a la adopción del mecanismo de mediación dentro del proceso 25000233600020230038900</w:t>
            </w:r>
            <w:r>
              <w:rPr>
                <w:rFonts w:ascii="Arial Narrow" w:hAnsi="Arial Narrow"/>
                <w:bCs/>
                <w:color w:val="000000" w:themeColor="text1"/>
                <w:lang w:val="es-CO"/>
              </w:rPr>
              <w:t xml:space="preserve"> y </w:t>
            </w:r>
            <w:r w:rsidRPr="00F84C82">
              <w:rPr>
                <w:rFonts w:ascii="Arial Narrow" w:hAnsi="Arial Narrow"/>
                <w:bCs/>
                <w:color w:val="000000" w:themeColor="text1"/>
                <w:lang w:val="es-CO"/>
              </w:rPr>
              <w:t>continuar con el trámite de solicitud de concepto ante</w:t>
            </w:r>
            <w:r>
              <w:rPr>
                <w:rFonts w:ascii="Arial Narrow" w:hAnsi="Arial Narrow"/>
                <w:bCs/>
                <w:color w:val="000000" w:themeColor="text1"/>
                <w:lang w:val="es-CO"/>
              </w:rPr>
              <w:t xml:space="preserve"> </w:t>
            </w:r>
            <w:r w:rsidRPr="00F84C82">
              <w:rPr>
                <w:rFonts w:ascii="Arial Narrow" w:hAnsi="Arial Narrow"/>
                <w:bCs/>
                <w:color w:val="000000" w:themeColor="text1"/>
                <w:lang w:val="es-CO"/>
              </w:rPr>
              <w:t>la Sala de Consulta del Servicio Civil del Consejo de Estado, a la luz de lo normado en el artículo 112, numeral 7º de la ley 1437 de 2011, que señala lo siguiente</w:t>
            </w:r>
            <w:r>
              <w:rPr>
                <w:rFonts w:ascii="Arial Narrow" w:hAnsi="Arial Narrow"/>
                <w:bCs/>
                <w:color w:val="000000" w:themeColor="text1"/>
                <w:lang w:val="es-CO"/>
              </w:rPr>
              <w:t>.</w:t>
            </w:r>
          </w:p>
          <w:p w14:paraId="6CFA9A35" w14:textId="77777777" w:rsidR="00FB7C0D" w:rsidRDefault="00FB7C0D" w:rsidP="00FB7C0D">
            <w:pPr>
              <w:ind w:left="873" w:right="616"/>
              <w:jc w:val="both"/>
              <w:rPr>
                <w:rFonts w:ascii="Arial Narrow" w:hAnsi="Arial Narrow"/>
                <w:bCs/>
                <w:color w:val="000000" w:themeColor="text1"/>
                <w:lang w:val="es-CO"/>
              </w:rPr>
            </w:pPr>
          </w:p>
          <w:p w14:paraId="64FAE4A7"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
                <w:bCs/>
                <w:i/>
                <w:iCs/>
                <w:color w:val="000000" w:themeColor="text1"/>
                <w:sz w:val="20"/>
                <w:szCs w:val="20"/>
                <w:lang w:val="es-CO"/>
              </w:rPr>
              <w:t>“ARTÍCULO 112</w:t>
            </w:r>
            <w:r w:rsidRPr="00254102">
              <w:rPr>
                <w:rFonts w:ascii="Arial Narrow" w:hAnsi="Arial Narrow"/>
                <w:bCs/>
                <w:i/>
                <w:iCs/>
                <w:color w:val="000000" w:themeColor="text1"/>
                <w:sz w:val="20"/>
                <w:szCs w:val="20"/>
                <w:lang w:val="es-CO"/>
              </w:rPr>
              <w:t>. Integración y funciones de la Sala de Consulta y Servicio Civil. La Sala de Consulta y Servicio Civil cumplirá funciones separadas de las funciones jurisdiccionales y actuará en forma autónoma como cuerpo supremo consultivo del gobierno en asuntos de administración. Estará integrada por cuatro (4) Magistrados. </w:t>
            </w:r>
          </w:p>
          <w:p w14:paraId="0822CF2F"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Los conceptos de la Sala no serán vinculantes, salvo que la ley disponga lo contrario. </w:t>
            </w:r>
          </w:p>
          <w:p w14:paraId="3A7302DC"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  </w:t>
            </w:r>
          </w:p>
          <w:p w14:paraId="69418205"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La Sala de Consulta y Servicio Civil tendrá las siguientes atribuciones: </w:t>
            </w:r>
          </w:p>
          <w:p w14:paraId="1125DA54"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  </w:t>
            </w:r>
          </w:p>
          <w:p w14:paraId="74357A31" w14:textId="77777777" w:rsidR="00FB7C0D" w:rsidRPr="00254102" w:rsidRDefault="00FB7C0D" w:rsidP="00FB7C0D">
            <w:pPr>
              <w:ind w:left="873" w:right="616"/>
              <w:jc w:val="both"/>
              <w:rPr>
                <w:rFonts w:ascii="Arial Narrow" w:hAnsi="Arial Narrow"/>
                <w:bCs/>
                <w:i/>
                <w:iCs/>
                <w:color w:val="000000" w:themeColor="text1"/>
                <w:sz w:val="20"/>
                <w:szCs w:val="20"/>
                <w:lang w:val="es-CO"/>
              </w:rPr>
            </w:pPr>
            <w:r w:rsidRPr="00254102">
              <w:rPr>
                <w:rFonts w:ascii="Arial Narrow" w:hAnsi="Arial Narrow"/>
                <w:bCs/>
                <w:i/>
                <w:iCs/>
                <w:color w:val="000000" w:themeColor="text1"/>
                <w:sz w:val="20"/>
                <w:szCs w:val="20"/>
                <w:lang w:val="es-CO"/>
              </w:rPr>
              <w:t>7. Emitir concepto, a petición del Gobierno nacional o de la Agencia Nacional de Defensa Jurídica del Estado, en relación con las controversias jurídicas que se presenten entre entidades públicas del orden nacional, o entre estas y entidades del orden territorial, con el fin de precaver un eventual litigio o poner fin a uno existente. El concepto emitido por la Sala no está sujeto a recurso alguno.”</w:t>
            </w:r>
          </w:p>
          <w:p w14:paraId="429D940D" w14:textId="77777777" w:rsidR="00FB7C0D" w:rsidRDefault="00FB7C0D" w:rsidP="00FB7C0D">
            <w:pPr>
              <w:ind w:left="873" w:right="616"/>
              <w:jc w:val="both"/>
              <w:rPr>
                <w:rFonts w:ascii="Arial Narrow" w:hAnsi="Arial Narrow"/>
                <w:bCs/>
                <w:color w:val="000000" w:themeColor="text1"/>
                <w:lang w:val="es-CO"/>
              </w:rPr>
            </w:pPr>
          </w:p>
          <w:p w14:paraId="32458014" w14:textId="238A28CB" w:rsidR="00FB7C0D" w:rsidRDefault="00FB7C0D" w:rsidP="00FB7C0D">
            <w:pPr>
              <w:ind w:left="589" w:right="616"/>
              <w:jc w:val="both"/>
              <w:rPr>
                <w:rFonts w:ascii="Arial Narrow" w:hAnsi="Arial Narrow"/>
                <w:bCs/>
                <w:color w:val="000000" w:themeColor="text1"/>
                <w:lang w:val="es-CO"/>
              </w:rPr>
            </w:pPr>
            <w:r w:rsidRPr="00A47112">
              <w:rPr>
                <w:rFonts w:ascii="Arial Narrow" w:hAnsi="Arial Narrow"/>
                <w:bCs/>
                <w:color w:val="000000" w:themeColor="text1"/>
              </w:rPr>
              <w:t>E</w:t>
            </w:r>
            <w:r>
              <w:rPr>
                <w:rFonts w:ascii="Arial Narrow" w:hAnsi="Arial Narrow"/>
                <w:bCs/>
                <w:color w:val="000000" w:themeColor="text1"/>
              </w:rPr>
              <w:t xml:space="preserve">l </w:t>
            </w:r>
            <w:r w:rsidRPr="00A47112">
              <w:rPr>
                <w:rFonts w:ascii="Arial Narrow" w:hAnsi="Arial Narrow"/>
                <w:bCs/>
                <w:color w:val="000000" w:themeColor="text1"/>
              </w:rPr>
              <w:t>procedimiento</w:t>
            </w:r>
            <w:r>
              <w:rPr>
                <w:rFonts w:ascii="Arial Narrow" w:hAnsi="Arial Narrow"/>
                <w:bCs/>
                <w:color w:val="000000" w:themeColor="text1"/>
              </w:rPr>
              <w:t xml:space="preserve"> establecido en la norma citada</w:t>
            </w:r>
            <w:r w:rsidRPr="00A47112">
              <w:rPr>
                <w:rFonts w:ascii="Arial Narrow" w:hAnsi="Arial Narrow"/>
                <w:bCs/>
                <w:color w:val="000000" w:themeColor="text1"/>
              </w:rPr>
              <w:t xml:space="preserve"> busca garantizar que las </w:t>
            </w:r>
            <w:r w:rsidR="00E17E32">
              <w:rPr>
                <w:rFonts w:ascii="Arial Narrow" w:hAnsi="Arial Narrow"/>
                <w:bCs/>
                <w:color w:val="000000" w:themeColor="text1"/>
              </w:rPr>
              <w:t>E</w:t>
            </w:r>
            <w:r w:rsidRPr="00A47112">
              <w:rPr>
                <w:rFonts w:ascii="Arial Narrow" w:hAnsi="Arial Narrow"/>
                <w:bCs/>
                <w:color w:val="000000" w:themeColor="text1"/>
              </w:rPr>
              <w:t xml:space="preserve">ntidades </w:t>
            </w:r>
            <w:r w:rsidR="00E17E32">
              <w:rPr>
                <w:rFonts w:ascii="Arial Narrow" w:hAnsi="Arial Narrow"/>
                <w:bCs/>
                <w:color w:val="000000" w:themeColor="text1"/>
              </w:rPr>
              <w:t>P</w:t>
            </w:r>
            <w:r w:rsidRPr="00A47112">
              <w:rPr>
                <w:rFonts w:ascii="Arial Narrow" w:hAnsi="Arial Narrow"/>
                <w:bCs/>
                <w:color w:val="000000" w:themeColor="text1"/>
              </w:rPr>
              <w:t>úblicas actúen conforme a la ley y cuenten con una interpretación autorizada para resolver dudas o conflictos jurídicos.</w:t>
            </w:r>
          </w:p>
          <w:p w14:paraId="2F4F5270" w14:textId="77777777" w:rsidR="00FB7C0D" w:rsidRDefault="00FB7C0D" w:rsidP="00FB7C0D">
            <w:pPr>
              <w:ind w:right="616"/>
              <w:jc w:val="both"/>
              <w:rPr>
                <w:rFonts w:ascii="Arial Narrow" w:hAnsi="Arial Narrow"/>
                <w:bCs/>
                <w:color w:val="000000" w:themeColor="text1"/>
                <w:lang w:val="es-CO"/>
              </w:rPr>
            </w:pPr>
          </w:p>
          <w:p w14:paraId="111A5DFE" w14:textId="77777777" w:rsidR="00FB7C0D" w:rsidRDefault="00FB7C0D" w:rsidP="00FB7C0D">
            <w:pPr>
              <w:pStyle w:val="Prrafodelista"/>
              <w:numPr>
                <w:ilvl w:val="0"/>
                <w:numId w:val="2"/>
              </w:numPr>
              <w:ind w:right="567"/>
              <w:jc w:val="both"/>
              <w:rPr>
                <w:rFonts w:ascii="Arial Narrow" w:hAnsi="Arial Narrow"/>
                <w:b/>
                <w:color w:val="000000" w:themeColor="text1"/>
                <w:lang w:val="es-CO"/>
              </w:rPr>
            </w:pPr>
            <w:r>
              <w:rPr>
                <w:rFonts w:ascii="Arial Narrow" w:hAnsi="Arial Narrow"/>
                <w:b/>
                <w:color w:val="000000" w:themeColor="text1"/>
                <w:lang w:val="es-CO"/>
              </w:rPr>
              <w:t>De la institución jurídica de la Mediación y su trámite</w:t>
            </w:r>
          </w:p>
          <w:p w14:paraId="3B94A1CE" w14:textId="77777777" w:rsidR="00FB7C0D" w:rsidRDefault="00FB7C0D" w:rsidP="00FB7C0D">
            <w:pPr>
              <w:ind w:right="567"/>
              <w:jc w:val="both"/>
              <w:rPr>
                <w:rFonts w:ascii="Arial Narrow" w:hAnsi="Arial Narrow"/>
                <w:b/>
                <w:color w:val="000000" w:themeColor="text1"/>
                <w:lang w:val="es-CO"/>
              </w:rPr>
            </w:pPr>
          </w:p>
          <w:p w14:paraId="50102F15" w14:textId="77777777" w:rsidR="00FB7C0D" w:rsidRDefault="00FB7C0D" w:rsidP="00FB7C0D">
            <w:pPr>
              <w:ind w:left="589" w:right="567"/>
              <w:jc w:val="both"/>
              <w:rPr>
                <w:rFonts w:ascii="Arial Narrow" w:hAnsi="Arial Narrow"/>
                <w:bCs/>
                <w:color w:val="000000" w:themeColor="text1"/>
                <w:lang w:val="es-CO"/>
              </w:rPr>
            </w:pPr>
            <w:r w:rsidRPr="00564CBD">
              <w:rPr>
                <w:rFonts w:ascii="Arial Narrow" w:hAnsi="Arial Narrow"/>
                <w:bCs/>
                <w:color w:val="000000" w:themeColor="text1"/>
                <w:lang w:val="es-CO"/>
              </w:rPr>
              <w:t>La Corte Constitucional en Sentencia C- 1195 de 2011</w:t>
            </w:r>
            <w:r>
              <w:rPr>
                <w:rStyle w:val="Refdenotaalpie"/>
                <w:rFonts w:ascii="Arial Narrow" w:hAnsi="Arial Narrow"/>
                <w:bCs/>
                <w:color w:val="000000" w:themeColor="text1"/>
                <w:lang w:val="es-CO"/>
              </w:rPr>
              <w:footnoteReference w:id="7"/>
            </w:r>
            <w:r w:rsidRPr="00564CBD">
              <w:rPr>
                <w:rFonts w:ascii="Arial Narrow" w:hAnsi="Arial Narrow"/>
                <w:bCs/>
                <w:color w:val="000000" w:themeColor="text1"/>
                <w:lang w:val="es-CO"/>
              </w:rPr>
              <w:t xml:space="preserve"> </w:t>
            </w:r>
            <w:r>
              <w:rPr>
                <w:rFonts w:ascii="Arial Narrow" w:hAnsi="Arial Narrow"/>
                <w:bCs/>
                <w:color w:val="000000" w:themeColor="text1"/>
                <w:lang w:val="es-CO"/>
              </w:rPr>
              <w:t>acoge la siguiente</w:t>
            </w:r>
            <w:r w:rsidRPr="00564CBD">
              <w:rPr>
                <w:rFonts w:ascii="Arial Narrow" w:hAnsi="Arial Narrow"/>
                <w:bCs/>
                <w:color w:val="000000" w:themeColor="text1"/>
                <w:lang w:val="es-CO"/>
              </w:rPr>
              <w:t xml:space="preserve"> definición</w:t>
            </w:r>
            <w:r>
              <w:rPr>
                <w:rFonts w:ascii="Arial Narrow" w:hAnsi="Arial Narrow"/>
                <w:bCs/>
                <w:color w:val="000000" w:themeColor="text1"/>
                <w:lang w:val="es-CO"/>
              </w:rPr>
              <w:t xml:space="preserve"> del mecanismo de mediación, propuesta por la regulación internacional en materia de negociación.</w:t>
            </w:r>
          </w:p>
          <w:p w14:paraId="17EB0AE7" w14:textId="77777777" w:rsidR="00FB7C0D" w:rsidRDefault="00FB7C0D" w:rsidP="00FB7C0D">
            <w:pPr>
              <w:ind w:left="589" w:right="567"/>
              <w:jc w:val="both"/>
              <w:rPr>
                <w:rFonts w:ascii="Arial Narrow" w:hAnsi="Arial Narrow"/>
                <w:bCs/>
                <w:color w:val="000000" w:themeColor="text1"/>
                <w:lang w:val="es-CO"/>
              </w:rPr>
            </w:pPr>
          </w:p>
          <w:p w14:paraId="2F0E0454" w14:textId="77777777" w:rsidR="00FB7C0D" w:rsidRDefault="00FB7C0D" w:rsidP="00FB7C0D">
            <w:pPr>
              <w:ind w:left="873" w:right="567"/>
              <w:jc w:val="both"/>
              <w:rPr>
                <w:rFonts w:ascii="Arial Narrow" w:hAnsi="Arial Narrow"/>
                <w:bCs/>
                <w:i/>
                <w:iCs/>
                <w:color w:val="000000" w:themeColor="text1"/>
                <w:sz w:val="20"/>
                <w:szCs w:val="20"/>
              </w:rPr>
            </w:pPr>
            <w:r w:rsidRPr="00E23CEA">
              <w:rPr>
                <w:rFonts w:ascii="Arial Narrow" w:hAnsi="Arial Narrow"/>
                <w:bCs/>
                <w:i/>
                <w:iCs/>
                <w:color w:val="000000" w:themeColor="text1"/>
                <w:sz w:val="20"/>
                <w:szCs w:val="20"/>
                <w:lang w:val="es-CO"/>
              </w:rPr>
              <w:t>“</w:t>
            </w:r>
            <w:r w:rsidRPr="00E23CEA">
              <w:rPr>
                <w:rFonts w:ascii="Arial Narrow" w:hAnsi="Arial Narrow"/>
                <w:bCs/>
                <w:i/>
                <w:iCs/>
                <w:color w:val="000000" w:themeColor="text1"/>
                <w:sz w:val="20"/>
                <w:szCs w:val="20"/>
              </w:rPr>
              <w:t>La mediación que es un procedimiento consensual, confidencial a través del cual las partes, con la ayuda de un facilitador neutral entrenado en resolución de conflictos, interviene para que las partes puedan discutir sus puntos de vista y buscar una solución conjunta al conflicto.”</w:t>
            </w:r>
          </w:p>
          <w:p w14:paraId="47C8DE23" w14:textId="77777777" w:rsidR="00FB7C0D" w:rsidRPr="00E23CEA" w:rsidRDefault="00FB7C0D" w:rsidP="00FB7C0D">
            <w:pPr>
              <w:ind w:left="1156" w:right="567"/>
              <w:jc w:val="both"/>
              <w:rPr>
                <w:rFonts w:ascii="Arial Narrow" w:hAnsi="Arial Narrow"/>
                <w:bCs/>
                <w:i/>
                <w:iCs/>
                <w:color w:val="000000" w:themeColor="text1"/>
                <w:sz w:val="20"/>
                <w:szCs w:val="20"/>
                <w:lang w:val="es-CO"/>
              </w:rPr>
            </w:pPr>
          </w:p>
          <w:p w14:paraId="7FFEB376" w14:textId="77777777" w:rsidR="00FB7C0D" w:rsidRDefault="00FB7C0D" w:rsidP="00FB7C0D">
            <w:pPr>
              <w:ind w:left="589" w:right="567"/>
              <w:jc w:val="both"/>
              <w:rPr>
                <w:rFonts w:ascii="Arial Narrow" w:hAnsi="Arial Narrow"/>
                <w:bCs/>
                <w:color w:val="000000" w:themeColor="text1"/>
                <w:lang w:val="es-CO"/>
              </w:rPr>
            </w:pPr>
            <w:r>
              <w:rPr>
                <w:rFonts w:ascii="Arial Narrow" w:hAnsi="Arial Narrow"/>
                <w:bCs/>
                <w:color w:val="000000" w:themeColor="text1"/>
                <w:lang w:val="es-CO"/>
              </w:rPr>
              <w:t>En ese sentido</w:t>
            </w:r>
            <w:r w:rsidRPr="003C0F23">
              <w:rPr>
                <w:rFonts w:ascii="Arial Narrow" w:hAnsi="Arial Narrow"/>
                <w:bCs/>
                <w:color w:val="000000" w:themeColor="text1"/>
                <w:lang w:val="es-CO"/>
              </w:rPr>
              <w:t xml:space="preserve">, el fin de la mediación es ayudar a las partes para que lleguen a un </w:t>
            </w:r>
            <w:r w:rsidRPr="00737745">
              <w:rPr>
                <w:rFonts w:ascii="Arial Narrow" w:hAnsi="Arial Narrow"/>
                <w:bCs/>
                <w:color w:val="000000" w:themeColor="text1"/>
                <w:lang w:val="es-CO"/>
              </w:rPr>
              <w:t>acuerdo que sea aceptable para ambas, promoviendo la comunicación, la cooperación y la resolución pacífica de diferencias.</w:t>
            </w:r>
            <w:r w:rsidRPr="003C0F23">
              <w:rPr>
                <w:rFonts w:ascii="Arial Narrow" w:hAnsi="Arial Narrow"/>
                <w:bCs/>
                <w:color w:val="000000" w:themeColor="text1"/>
                <w:lang w:val="es-CO"/>
              </w:rPr>
              <w:t xml:space="preserve"> </w:t>
            </w:r>
            <w:r w:rsidRPr="00737745">
              <w:rPr>
                <w:rFonts w:ascii="Arial Narrow" w:hAnsi="Arial Narrow"/>
                <w:bCs/>
                <w:color w:val="000000" w:themeColor="text1"/>
                <w:lang w:val="es-CO"/>
              </w:rPr>
              <w:t xml:space="preserve">Este proceso se caracteriza por ser voluntario, confidencial y basado en la imparcialidad del mediador, quien no impone decisiones, sino que actúa como guía para que las partes logren construir su propia solución. </w:t>
            </w:r>
          </w:p>
          <w:p w14:paraId="6937B265" w14:textId="77777777" w:rsidR="00FB7C0D" w:rsidRDefault="00FB7C0D" w:rsidP="00FB7C0D">
            <w:pPr>
              <w:ind w:left="589" w:right="567"/>
              <w:jc w:val="both"/>
              <w:rPr>
                <w:rFonts w:ascii="Arial Narrow" w:hAnsi="Arial Narrow"/>
                <w:bCs/>
                <w:color w:val="000000" w:themeColor="text1"/>
                <w:lang w:val="es-CO"/>
              </w:rPr>
            </w:pPr>
          </w:p>
          <w:p w14:paraId="18C3C8B3" w14:textId="75ADB0ED" w:rsidR="00FB7C0D" w:rsidRDefault="00FB7C0D" w:rsidP="00FB7C0D">
            <w:pPr>
              <w:ind w:left="589" w:right="567"/>
              <w:jc w:val="both"/>
              <w:rPr>
                <w:rFonts w:ascii="Arial Narrow" w:hAnsi="Arial Narrow"/>
                <w:bCs/>
                <w:i/>
                <w:iCs/>
                <w:color w:val="000000" w:themeColor="text1"/>
              </w:rPr>
            </w:pPr>
            <w:r w:rsidRPr="00CD1D75">
              <w:rPr>
                <w:rFonts w:ascii="Arial Narrow" w:hAnsi="Arial Narrow"/>
                <w:bCs/>
                <w:color w:val="000000" w:themeColor="text1"/>
                <w:lang w:val="es-CO"/>
              </w:rPr>
              <w:t>La mediación está contemplada en el artículo 233</w:t>
            </w:r>
            <w:r w:rsidRPr="00CD1D75">
              <w:rPr>
                <w:rStyle w:val="Refdenotaalpie"/>
                <w:rFonts w:ascii="Arial Narrow" w:hAnsi="Arial Narrow"/>
                <w:bCs/>
                <w:color w:val="000000" w:themeColor="text1"/>
                <w:lang w:val="es-CO"/>
              </w:rPr>
              <w:footnoteReference w:id="8"/>
            </w:r>
            <w:r w:rsidRPr="00CD1D75">
              <w:rPr>
                <w:rFonts w:ascii="Arial Narrow" w:hAnsi="Arial Narrow"/>
                <w:bCs/>
                <w:color w:val="000000" w:themeColor="text1"/>
                <w:lang w:val="es-CO"/>
              </w:rPr>
              <w:t xml:space="preserve"> de la Ley </w:t>
            </w:r>
            <w:r w:rsidR="00E17E32">
              <w:rPr>
                <w:rFonts w:ascii="Arial Narrow" w:hAnsi="Arial Narrow"/>
                <w:bCs/>
                <w:color w:val="000000" w:themeColor="text1"/>
                <w:lang w:val="es-CO"/>
              </w:rPr>
              <w:t>2</w:t>
            </w:r>
            <w:r w:rsidRPr="00CD1D75">
              <w:rPr>
                <w:rFonts w:ascii="Arial Narrow" w:hAnsi="Arial Narrow"/>
                <w:bCs/>
                <w:color w:val="000000" w:themeColor="text1"/>
                <w:lang w:val="es-CO"/>
              </w:rPr>
              <w:t>220 de 2022</w:t>
            </w:r>
            <w:r w:rsidRPr="00CD1D75">
              <w:rPr>
                <w:rStyle w:val="Refdenotaalpie"/>
                <w:rFonts w:ascii="Arial Narrow" w:hAnsi="Arial Narrow"/>
                <w:bCs/>
                <w:color w:val="000000" w:themeColor="text1"/>
                <w:lang w:val="es-CO"/>
              </w:rPr>
              <w:footnoteReference w:id="9"/>
            </w:r>
            <w:r w:rsidRPr="00CD1D75">
              <w:rPr>
                <w:rFonts w:ascii="Arial Narrow" w:hAnsi="Arial Narrow"/>
                <w:bCs/>
                <w:color w:val="000000" w:themeColor="text1"/>
                <w:lang w:val="es-CO"/>
              </w:rPr>
              <w:t xml:space="preserve">, que indica que el mediador </w:t>
            </w:r>
            <w:r w:rsidRPr="00CD1D75">
              <w:rPr>
                <w:rFonts w:ascii="Arial Narrow" w:hAnsi="Arial Narrow"/>
                <w:color w:val="000000" w:themeColor="text1"/>
              </w:rPr>
              <w:t>debe escuchar</w:t>
            </w:r>
            <w:r w:rsidRPr="00CD1D75">
              <w:rPr>
                <w:rFonts w:ascii="Arial Narrow" w:hAnsi="Arial Narrow"/>
                <w:bCs/>
                <w:color w:val="000000" w:themeColor="text1"/>
              </w:rPr>
              <w:t xml:space="preserve"> a las personas que se encuentran en situación de conflicto de convivencia para facilitar un camino para encontrar una solución proporcional y equitativa</w:t>
            </w:r>
            <w:r w:rsidRPr="00CD1D75">
              <w:rPr>
                <w:rFonts w:ascii="Arial Narrow" w:hAnsi="Arial Narrow"/>
                <w:bCs/>
                <w:i/>
                <w:iCs/>
                <w:color w:val="000000" w:themeColor="text1"/>
              </w:rPr>
              <w:t>.</w:t>
            </w:r>
          </w:p>
          <w:p w14:paraId="2E7D0E92" w14:textId="10CD9381" w:rsidR="00E17E32" w:rsidRDefault="00E17E32" w:rsidP="00FB7C0D">
            <w:pPr>
              <w:ind w:left="589" w:right="567"/>
              <w:jc w:val="both"/>
              <w:rPr>
                <w:rFonts w:ascii="Arial Narrow" w:hAnsi="Arial Narrow"/>
                <w:bCs/>
                <w:color w:val="000000" w:themeColor="text1"/>
                <w:lang w:val="es-CO"/>
              </w:rPr>
            </w:pPr>
          </w:p>
          <w:p w14:paraId="29F7461B" w14:textId="20DC96C4" w:rsidR="00FB7C0D" w:rsidRPr="00240B43" w:rsidRDefault="00FB7C0D" w:rsidP="00FB7C0D">
            <w:pPr>
              <w:ind w:left="589" w:right="567"/>
              <w:jc w:val="both"/>
              <w:rPr>
                <w:rFonts w:ascii="Arial Narrow" w:hAnsi="Arial Narrow"/>
                <w:bCs/>
                <w:color w:val="000000" w:themeColor="text1"/>
              </w:rPr>
            </w:pPr>
            <w:r>
              <w:rPr>
                <w:rFonts w:ascii="Arial Narrow" w:hAnsi="Arial Narrow"/>
                <w:bCs/>
                <w:color w:val="000000" w:themeColor="text1"/>
                <w:lang w:val="es-CO"/>
              </w:rPr>
              <w:lastRenderedPageBreak/>
              <w:t xml:space="preserve">Para el caso de las </w:t>
            </w:r>
            <w:r w:rsidR="00E17E32">
              <w:rPr>
                <w:rFonts w:ascii="Arial Narrow" w:hAnsi="Arial Narrow"/>
                <w:bCs/>
                <w:color w:val="000000" w:themeColor="text1"/>
                <w:lang w:val="es-CO"/>
              </w:rPr>
              <w:t>Entidades P</w:t>
            </w:r>
            <w:r>
              <w:rPr>
                <w:rFonts w:ascii="Arial Narrow" w:hAnsi="Arial Narrow"/>
                <w:bCs/>
                <w:color w:val="000000" w:themeColor="text1"/>
                <w:lang w:val="es-CO"/>
              </w:rPr>
              <w:t xml:space="preserve">úblicas, quien funge como mediador en los conflictos que se suscitan entre estas, es la ANDJE, de conformidad con la potestad que le ha sido endilgada en el artículo </w:t>
            </w:r>
            <w:r w:rsidRPr="002A728B">
              <w:rPr>
                <w:rFonts w:ascii="Arial Narrow" w:hAnsi="Arial Narrow"/>
                <w:bCs/>
                <w:color w:val="000000" w:themeColor="text1"/>
              </w:rPr>
              <w:t>2.2.3.2.2.1.2</w:t>
            </w:r>
            <w:r>
              <w:rPr>
                <w:rFonts w:ascii="Arial Narrow" w:hAnsi="Arial Narrow"/>
                <w:bCs/>
                <w:color w:val="000000" w:themeColor="text1"/>
              </w:rPr>
              <w:t>.</w:t>
            </w:r>
            <w:r>
              <w:rPr>
                <w:rStyle w:val="Refdenotaalpie"/>
                <w:rFonts w:ascii="Arial Narrow" w:hAnsi="Arial Narrow"/>
                <w:bCs/>
                <w:color w:val="000000" w:themeColor="text1"/>
              </w:rPr>
              <w:footnoteReference w:id="10"/>
            </w:r>
            <w:r>
              <w:rPr>
                <w:rFonts w:ascii="Arial Narrow" w:hAnsi="Arial Narrow"/>
                <w:bCs/>
                <w:color w:val="000000" w:themeColor="text1"/>
              </w:rPr>
              <w:t xml:space="preserve"> del </w:t>
            </w:r>
            <w:r w:rsidRPr="00393F6C">
              <w:rPr>
                <w:rFonts w:ascii="Arial Narrow" w:hAnsi="Arial Narrow"/>
                <w:bCs/>
                <w:color w:val="000000" w:themeColor="text1"/>
              </w:rPr>
              <w:t>Decreto 1069 de 2015,</w:t>
            </w:r>
            <w:r>
              <w:rPr>
                <w:rFonts w:ascii="Arial Narrow" w:hAnsi="Arial Narrow"/>
                <w:bCs/>
                <w:color w:val="000000" w:themeColor="text1"/>
              </w:rPr>
              <w:t xml:space="preserve"> modificado por el artículo 4º del Decreto 0104 de 2025, para lo cual, se hace necesario que, de manera previa, las entidades acrediten su procedencia ante el Comité de Conciliación a la luz de </w:t>
            </w:r>
            <w:r>
              <w:rPr>
                <w:rFonts w:ascii="Arial Narrow" w:hAnsi="Arial Narrow"/>
                <w:bCs/>
                <w:color w:val="000000" w:themeColor="text1"/>
                <w:lang w:val="es-CO"/>
              </w:rPr>
              <w:t xml:space="preserve">lo </w:t>
            </w:r>
            <w:r>
              <w:rPr>
                <w:rFonts w:ascii="Arial Narrow" w:hAnsi="Arial Narrow"/>
                <w:bCs/>
                <w:color w:val="000000" w:themeColor="text1"/>
              </w:rPr>
              <w:t>señalado en los artículos 117</w:t>
            </w:r>
            <w:r>
              <w:rPr>
                <w:rStyle w:val="Refdenotaalpie"/>
                <w:rFonts w:ascii="Arial Narrow" w:hAnsi="Arial Narrow"/>
                <w:bCs/>
                <w:color w:val="000000" w:themeColor="text1"/>
              </w:rPr>
              <w:footnoteReference w:id="11"/>
            </w:r>
            <w:r>
              <w:rPr>
                <w:rFonts w:ascii="Arial Narrow" w:hAnsi="Arial Narrow"/>
                <w:bCs/>
                <w:color w:val="000000" w:themeColor="text1"/>
              </w:rPr>
              <w:t xml:space="preserve"> y 120</w:t>
            </w:r>
            <w:r>
              <w:rPr>
                <w:rStyle w:val="Refdenotaalpie"/>
                <w:rFonts w:ascii="Arial Narrow" w:hAnsi="Arial Narrow"/>
                <w:bCs/>
                <w:color w:val="000000" w:themeColor="text1"/>
              </w:rPr>
              <w:footnoteReference w:id="12"/>
            </w:r>
            <w:r>
              <w:rPr>
                <w:rFonts w:ascii="Arial Narrow" w:hAnsi="Arial Narrow"/>
                <w:bCs/>
                <w:color w:val="000000" w:themeColor="text1"/>
              </w:rPr>
              <w:t xml:space="preserve"> de la </w:t>
            </w:r>
            <w:r w:rsidRPr="007C112E">
              <w:rPr>
                <w:rFonts w:ascii="Arial Narrow" w:hAnsi="Arial Narrow"/>
                <w:bCs/>
                <w:color w:val="000000" w:themeColor="text1"/>
                <w:lang w:val="es-CO"/>
              </w:rPr>
              <w:t xml:space="preserve">Ley </w:t>
            </w:r>
            <w:r w:rsidR="00E17E32">
              <w:rPr>
                <w:rFonts w:ascii="Arial Narrow" w:hAnsi="Arial Narrow"/>
                <w:bCs/>
                <w:color w:val="000000" w:themeColor="text1"/>
                <w:lang w:val="es-CO"/>
              </w:rPr>
              <w:t>2</w:t>
            </w:r>
            <w:r w:rsidRPr="007C112E">
              <w:rPr>
                <w:rFonts w:ascii="Arial Narrow" w:hAnsi="Arial Narrow"/>
                <w:bCs/>
                <w:color w:val="000000" w:themeColor="text1"/>
                <w:lang w:val="es-CO"/>
              </w:rPr>
              <w:t>220 de 2022</w:t>
            </w:r>
            <w:r>
              <w:rPr>
                <w:rFonts w:ascii="Arial Narrow" w:hAnsi="Arial Narrow"/>
                <w:bCs/>
                <w:color w:val="000000" w:themeColor="text1"/>
                <w:lang w:val="es-CO"/>
              </w:rPr>
              <w:t>, siendo el Comité una sede de estudio para el análisis sobre la procedencia de algún medio alternativo para la solución de conflictos.</w:t>
            </w:r>
          </w:p>
          <w:p w14:paraId="0E4953CD" w14:textId="77777777" w:rsidR="00FB7C0D" w:rsidRDefault="00FB7C0D" w:rsidP="00FB7C0D">
            <w:pPr>
              <w:ind w:left="589" w:right="567"/>
              <w:jc w:val="both"/>
              <w:rPr>
                <w:rFonts w:ascii="Arial Narrow" w:hAnsi="Arial Narrow"/>
                <w:bCs/>
                <w:color w:val="000000" w:themeColor="text1"/>
                <w:lang w:val="es-CO"/>
              </w:rPr>
            </w:pPr>
          </w:p>
          <w:p w14:paraId="2E2098B8" w14:textId="49909AF2" w:rsidR="00FB7C0D" w:rsidRDefault="00FB7C0D" w:rsidP="00FB7C0D">
            <w:pPr>
              <w:ind w:left="589" w:right="567"/>
              <w:jc w:val="both"/>
              <w:rPr>
                <w:rFonts w:ascii="Arial Narrow" w:hAnsi="Arial Narrow"/>
                <w:bCs/>
                <w:color w:val="000000" w:themeColor="text1"/>
                <w:lang w:val="es-CO"/>
              </w:rPr>
            </w:pPr>
            <w:r>
              <w:rPr>
                <w:rFonts w:ascii="Arial Narrow" w:hAnsi="Arial Narrow"/>
                <w:bCs/>
                <w:color w:val="000000" w:themeColor="text1"/>
                <w:lang w:val="es-CO"/>
              </w:rPr>
              <w:t xml:space="preserve">Ahora, el trámite para autorizar la mediación está establecido en el artículo </w:t>
            </w:r>
            <w:r w:rsidRPr="004C150A">
              <w:rPr>
                <w:rFonts w:ascii="Arial Narrow" w:hAnsi="Arial Narrow"/>
                <w:color w:val="000000" w:themeColor="text1"/>
                <w:lang w:val="es-CO"/>
              </w:rPr>
              <w:t>2.2.3.2.2.1.6.</w:t>
            </w:r>
            <w:r w:rsidRPr="004C150A">
              <w:rPr>
                <w:rFonts w:ascii="Arial Narrow" w:hAnsi="Arial Narrow"/>
                <w:b/>
                <w:bCs/>
                <w:i/>
                <w:iCs/>
                <w:color w:val="000000" w:themeColor="text1"/>
                <w:lang w:val="es-CO"/>
              </w:rPr>
              <w:t> </w:t>
            </w:r>
            <w:r w:rsidRPr="00755BA6">
              <w:rPr>
                <w:rFonts w:ascii="Arial Narrow" w:hAnsi="Arial Narrow"/>
                <w:color w:val="000000" w:themeColor="text1"/>
                <w:lang w:val="es-CO"/>
              </w:rPr>
              <w:t>del precitado Decreto, que indica lo siguiente.</w:t>
            </w:r>
          </w:p>
          <w:p w14:paraId="338F9BFE" w14:textId="77777777" w:rsidR="00FB7C0D" w:rsidRDefault="00FB7C0D" w:rsidP="00FB7C0D">
            <w:pPr>
              <w:ind w:left="873" w:right="567"/>
              <w:jc w:val="both"/>
              <w:rPr>
                <w:rFonts w:ascii="Arial Narrow" w:hAnsi="Arial Narrow"/>
                <w:color w:val="000000" w:themeColor="text1"/>
              </w:rPr>
            </w:pPr>
          </w:p>
          <w:p w14:paraId="27602E40"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
                <w:bCs/>
                <w:i/>
                <w:iCs/>
                <w:color w:val="000000" w:themeColor="text1"/>
                <w:sz w:val="20"/>
                <w:szCs w:val="20"/>
                <w:lang w:val="es-CO"/>
              </w:rPr>
              <w:t>“Artículo 2.2.3.2.2.1.6. Autorización y Procedencia de la mediación.</w:t>
            </w:r>
            <w:r w:rsidRPr="004C150A">
              <w:rPr>
                <w:rFonts w:ascii="Arial Narrow" w:hAnsi="Arial Narrow"/>
                <w:bCs/>
                <w:i/>
                <w:iCs/>
                <w:color w:val="000000" w:themeColor="text1"/>
                <w:sz w:val="20"/>
                <w:szCs w:val="20"/>
                <w:lang w:val="es-CO"/>
              </w:rPr>
              <w:t> Con anterioridad al inicio del trámite de mediación, sin perjuicio de quien tenga la iniciativa de acudir a este procedimiento, las entidades deberán acreditar la autorización del Comité de Conciliación para someter el conflicto a la mediación de la Agencia Nacional de Defensa Jurídica del Estado.  </w:t>
            </w:r>
          </w:p>
          <w:p w14:paraId="2FDB11F6"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 </w:t>
            </w:r>
          </w:p>
          <w:p w14:paraId="024CD380"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La mediación de la Agencia Nacional de Defensa Jurídica del Estado procederá por cualquiera de las siguientes causas:  </w:t>
            </w:r>
          </w:p>
          <w:p w14:paraId="585A93C4"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 </w:t>
            </w:r>
          </w:p>
          <w:p w14:paraId="25E39DE0"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1. Por solicitud conjunta de las entidades u organismos del orden nacional en conflicto.  </w:t>
            </w:r>
          </w:p>
          <w:p w14:paraId="282C526C"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 </w:t>
            </w:r>
          </w:p>
          <w:p w14:paraId="4762CDFA"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2. Por solicitud de una de las entidades u organismos del orden nacional en el conflicto.  </w:t>
            </w:r>
          </w:p>
          <w:p w14:paraId="3484DA5F"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 </w:t>
            </w:r>
          </w:p>
          <w:p w14:paraId="67BA2D39"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3. A iniciativa de la propia Agencia Nacional de Defensa Jurídica del Estado, cuando en razón de sus competencias identifique la existencia de un conflicto actual o de posible ocurrencia entre entidades u organismos del orden nacional, en todo caso, las entidades concurrirán de manera voluntaria.  </w:t>
            </w:r>
          </w:p>
          <w:p w14:paraId="6C65E52E"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Cs/>
                <w:i/>
                <w:iCs/>
                <w:color w:val="000000" w:themeColor="text1"/>
                <w:sz w:val="20"/>
                <w:szCs w:val="20"/>
                <w:lang w:val="es-CO"/>
              </w:rPr>
              <w:t> </w:t>
            </w:r>
          </w:p>
          <w:p w14:paraId="1C16111F" w14:textId="77777777" w:rsidR="00FB7C0D" w:rsidRPr="004C150A" w:rsidRDefault="00FB7C0D" w:rsidP="00FB7C0D">
            <w:pPr>
              <w:ind w:left="873" w:right="567"/>
              <w:jc w:val="both"/>
              <w:rPr>
                <w:rFonts w:ascii="Arial Narrow" w:hAnsi="Arial Narrow"/>
                <w:bCs/>
                <w:i/>
                <w:iCs/>
                <w:color w:val="000000" w:themeColor="text1"/>
                <w:sz w:val="20"/>
                <w:szCs w:val="20"/>
                <w:lang w:val="es-CO"/>
              </w:rPr>
            </w:pPr>
            <w:r w:rsidRPr="004C150A">
              <w:rPr>
                <w:rFonts w:ascii="Arial Narrow" w:hAnsi="Arial Narrow"/>
                <w:b/>
                <w:bCs/>
                <w:i/>
                <w:iCs/>
                <w:color w:val="000000" w:themeColor="text1"/>
                <w:sz w:val="20"/>
                <w:szCs w:val="20"/>
                <w:lang w:val="es-CO"/>
              </w:rPr>
              <w:t>Parágrafo.</w:t>
            </w:r>
            <w:r w:rsidRPr="004C150A">
              <w:rPr>
                <w:rFonts w:ascii="Arial Narrow" w:hAnsi="Arial Narrow"/>
                <w:bCs/>
                <w:i/>
                <w:iCs/>
                <w:color w:val="000000" w:themeColor="text1"/>
                <w:sz w:val="20"/>
                <w:szCs w:val="20"/>
                <w:lang w:val="es-CO"/>
              </w:rPr>
              <w:t> El inicio de la mediación ante la Agencia no suspende ningún término de prescripción de derechos, de caducidad de las acciones a las que hubiere lugar, ni interrumpe los trámites extrajudiciales o procesos judiciales en curso, así como tampoco los mecanismos alternativos de solución de conflictos previstos en la ley que se encuentren en trámite.” </w:t>
            </w:r>
          </w:p>
          <w:p w14:paraId="159B8C09" w14:textId="77777777" w:rsidR="00FB7C0D" w:rsidRDefault="00FB7C0D" w:rsidP="00FB7C0D">
            <w:pPr>
              <w:ind w:left="873" w:right="567"/>
              <w:jc w:val="both"/>
              <w:rPr>
                <w:rFonts w:ascii="Arial Narrow" w:hAnsi="Arial Narrow"/>
                <w:bCs/>
                <w:color w:val="000000" w:themeColor="text1"/>
                <w:lang w:val="es-CO"/>
              </w:rPr>
            </w:pPr>
          </w:p>
          <w:p w14:paraId="0B57EA79" w14:textId="77777777" w:rsidR="00FB7C0D" w:rsidRDefault="00FB7C0D" w:rsidP="00FB7C0D">
            <w:pPr>
              <w:ind w:left="589" w:right="567"/>
              <w:jc w:val="both"/>
              <w:rPr>
                <w:rFonts w:ascii="Arial Narrow" w:hAnsi="Arial Narrow"/>
                <w:bCs/>
                <w:color w:val="000000" w:themeColor="text1"/>
                <w:lang w:val="es-CO"/>
              </w:rPr>
            </w:pPr>
            <w:r>
              <w:rPr>
                <w:rFonts w:ascii="Arial Narrow" w:hAnsi="Arial Narrow"/>
                <w:bCs/>
                <w:color w:val="000000" w:themeColor="text1"/>
                <w:lang w:val="es-CO"/>
              </w:rPr>
              <w:t>De conformidad con el mentado artículo, la mediación procederá por solicitud conjunta o de una de las entidades u organismos del orden nacional en conflicto, o por iniciativa propia de la ANDJE, de otro lado, la mediación no suspenderá ningún término de prescripción del derecho de caducidad de la acción legal y tampoco interrumpe los trámites extrajudiciales o procesos judiciales en curso.</w:t>
            </w:r>
          </w:p>
          <w:p w14:paraId="46CAD615" w14:textId="77777777" w:rsidR="00FB7C0D" w:rsidRDefault="00FB7C0D" w:rsidP="00FB7C0D">
            <w:pPr>
              <w:ind w:left="589" w:right="567"/>
              <w:jc w:val="both"/>
              <w:rPr>
                <w:rFonts w:ascii="Arial Narrow" w:hAnsi="Arial Narrow"/>
                <w:bCs/>
                <w:color w:val="000000" w:themeColor="text1"/>
                <w:lang w:val="es-CO"/>
              </w:rPr>
            </w:pPr>
          </w:p>
          <w:p w14:paraId="6E83D152" w14:textId="77777777" w:rsidR="00FB7C0D" w:rsidRDefault="00FB7C0D" w:rsidP="00FB7C0D">
            <w:pPr>
              <w:ind w:left="589" w:right="567"/>
              <w:jc w:val="both"/>
              <w:rPr>
                <w:rFonts w:ascii="Arial Narrow" w:hAnsi="Arial Narrow"/>
                <w:i/>
                <w:iCs/>
                <w:color w:val="000000" w:themeColor="text1"/>
              </w:rPr>
            </w:pPr>
            <w:r>
              <w:rPr>
                <w:rFonts w:ascii="Arial Narrow" w:hAnsi="Arial Narrow"/>
                <w:bCs/>
                <w:color w:val="000000" w:themeColor="text1"/>
                <w:lang w:val="es-CO"/>
              </w:rPr>
              <w:t xml:space="preserve">Una vez el Comité de Conciliación autorice la mediación para someter el conflicto suscitado entre las partes, las entidades se comprometerán a ejecutar lo acordado, de lo contrario, deberán someterse a las </w:t>
            </w:r>
            <w:r w:rsidRPr="002E5F3A">
              <w:rPr>
                <w:rFonts w:ascii="Arial Narrow" w:hAnsi="Arial Narrow"/>
                <w:bCs/>
                <w:color w:val="000000" w:themeColor="text1"/>
              </w:rPr>
              <w:t>consecuencias previstas por el incumplimiento del acto o acuerdo jurídico establecido para resolver el confli</w:t>
            </w:r>
            <w:r>
              <w:rPr>
                <w:rFonts w:ascii="Arial Narrow" w:hAnsi="Arial Narrow"/>
                <w:bCs/>
                <w:color w:val="000000" w:themeColor="text1"/>
              </w:rPr>
              <w:t xml:space="preserve">cto, de acuerdo con lo señalado en el artículo </w:t>
            </w:r>
            <w:r w:rsidRPr="001B1F6B">
              <w:rPr>
                <w:rFonts w:ascii="Arial Narrow" w:hAnsi="Arial Narrow"/>
                <w:color w:val="000000" w:themeColor="text1"/>
              </w:rPr>
              <w:t>2.2.3.2.2.1.3</w:t>
            </w:r>
            <w:r>
              <w:rPr>
                <w:rFonts w:ascii="Arial Narrow" w:hAnsi="Arial Narrow"/>
                <w:color w:val="000000" w:themeColor="text1"/>
              </w:rPr>
              <w:t>.</w:t>
            </w:r>
            <w:r>
              <w:rPr>
                <w:rStyle w:val="Refdenotaalpie"/>
                <w:rFonts w:ascii="Arial Narrow" w:hAnsi="Arial Narrow"/>
                <w:color w:val="000000" w:themeColor="text1"/>
              </w:rPr>
              <w:footnoteReference w:id="13"/>
            </w:r>
            <w:r w:rsidRPr="001B1F6B">
              <w:rPr>
                <w:rFonts w:ascii="Arial Narrow" w:hAnsi="Arial Narrow"/>
                <w:b/>
                <w:bCs/>
                <w:color w:val="000000" w:themeColor="text1"/>
              </w:rPr>
              <w:t> </w:t>
            </w:r>
            <w:r w:rsidRPr="001B1F6B">
              <w:rPr>
                <w:rFonts w:ascii="Arial Narrow" w:hAnsi="Arial Narrow"/>
                <w:i/>
                <w:iCs/>
                <w:color w:val="000000" w:themeColor="text1"/>
              </w:rPr>
              <w:t>ejusdem.</w:t>
            </w:r>
          </w:p>
          <w:p w14:paraId="6E5BC152" w14:textId="77777777" w:rsidR="00A45DE0" w:rsidRDefault="00A45DE0" w:rsidP="00FB7C0D">
            <w:pPr>
              <w:ind w:left="589" w:right="567"/>
              <w:jc w:val="both"/>
              <w:rPr>
                <w:rFonts w:ascii="Arial Narrow" w:hAnsi="Arial Narrow"/>
                <w:i/>
                <w:iCs/>
                <w:color w:val="000000" w:themeColor="text1"/>
              </w:rPr>
            </w:pPr>
          </w:p>
          <w:p w14:paraId="520233FE" w14:textId="4B95032A" w:rsidR="00FB7C0D" w:rsidRDefault="00FB7C0D" w:rsidP="00FB7C0D">
            <w:pPr>
              <w:ind w:left="589" w:right="567"/>
              <w:jc w:val="both"/>
              <w:rPr>
                <w:rFonts w:ascii="Arial Narrow" w:hAnsi="Arial Narrow"/>
                <w:bCs/>
                <w:color w:val="000000" w:themeColor="text1"/>
              </w:rPr>
            </w:pPr>
            <w:r>
              <w:rPr>
                <w:rFonts w:ascii="Arial Narrow" w:hAnsi="Arial Narrow"/>
                <w:bCs/>
                <w:color w:val="000000" w:themeColor="text1"/>
                <w:lang w:val="es-CO"/>
              </w:rPr>
              <w:lastRenderedPageBreak/>
              <w:t xml:space="preserve">Aunado a lo expuesto, el trámite de la mediación es de carácter confidencial, según lo normado en el artículo </w:t>
            </w:r>
            <w:r w:rsidRPr="007A2EF3">
              <w:rPr>
                <w:rFonts w:ascii="Arial Narrow" w:hAnsi="Arial Narrow"/>
                <w:color w:val="000000" w:themeColor="text1"/>
              </w:rPr>
              <w:t>2.2.3.2.2.1.5</w:t>
            </w:r>
            <w:r>
              <w:rPr>
                <w:rFonts w:ascii="Arial Narrow" w:hAnsi="Arial Narrow"/>
                <w:color w:val="000000" w:themeColor="text1"/>
              </w:rPr>
              <w:t>.</w:t>
            </w:r>
            <w:r>
              <w:rPr>
                <w:rStyle w:val="Refdenotaalpie"/>
                <w:rFonts w:ascii="Arial Narrow" w:hAnsi="Arial Narrow"/>
                <w:color w:val="000000" w:themeColor="text1"/>
              </w:rPr>
              <w:footnoteReference w:id="14"/>
            </w:r>
            <w:r w:rsidRPr="007A2EF3">
              <w:rPr>
                <w:rFonts w:ascii="Arial Narrow" w:hAnsi="Arial Narrow"/>
                <w:color w:val="000000" w:themeColor="text1"/>
              </w:rPr>
              <w:t xml:space="preserve"> del citado Decreto</w:t>
            </w:r>
            <w:r>
              <w:rPr>
                <w:rFonts w:ascii="Arial Narrow" w:hAnsi="Arial Narrow"/>
                <w:b/>
                <w:bCs/>
                <w:color w:val="000000" w:themeColor="text1"/>
              </w:rPr>
              <w:t xml:space="preserve">, </w:t>
            </w:r>
            <w:r>
              <w:rPr>
                <w:rFonts w:ascii="Arial Narrow" w:hAnsi="Arial Narrow"/>
                <w:bCs/>
                <w:color w:val="000000" w:themeColor="text1"/>
                <w:lang w:val="es-CO"/>
              </w:rPr>
              <w:t>por lo tanto, las partes se compromete</w:t>
            </w:r>
            <w:r w:rsidR="00E17E32">
              <w:rPr>
                <w:rFonts w:ascii="Arial Narrow" w:hAnsi="Arial Narrow"/>
                <w:bCs/>
                <w:color w:val="000000" w:themeColor="text1"/>
                <w:lang w:val="es-CO"/>
              </w:rPr>
              <w:t>n</w:t>
            </w:r>
            <w:r>
              <w:rPr>
                <w:rFonts w:ascii="Arial Narrow" w:hAnsi="Arial Narrow"/>
                <w:bCs/>
                <w:color w:val="000000" w:themeColor="text1"/>
                <w:lang w:val="es-CO"/>
              </w:rPr>
              <w:t xml:space="preserve"> a no</w:t>
            </w:r>
            <w:r w:rsidRPr="00375A0F">
              <w:rPr>
                <w:rFonts w:ascii="Arial Narrow" w:hAnsi="Arial Narrow"/>
                <w:bCs/>
                <w:color w:val="000000" w:themeColor="text1"/>
              </w:rPr>
              <w:t xml:space="preserve"> compartir</w:t>
            </w:r>
            <w:r>
              <w:rPr>
                <w:rFonts w:ascii="Arial Narrow" w:hAnsi="Arial Narrow"/>
                <w:bCs/>
                <w:color w:val="000000" w:themeColor="text1"/>
              </w:rPr>
              <w:t xml:space="preserve"> ni documentar </w:t>
            </w:r>
            <w:r w:rsidRPr="00375A0F">
              <w:rPr>
                <w:rFonts w:ascii="Arial Narrow" w:hAnsi="Arial Narrow"/>
                <w:bCs/>
                <w:color w:val="000000" w:themeColor="text1"/>
              </w:rPr>
              <w:t>las conversaciones, puntos de vista, sugerencias de acuerdos ni declaraciones realizadas durante las sesiones de mediación, a menos que las partes expresamente lo permitan</w:t>
            </w:r>
            <w:r>
              <w:rPr>
                <w:rFonts w:ascii="Arial Narrow" w:hAnsi="Arial Narrow"/>
                <w:bCs/>
                <w:color w:val="000000" w:themeColor="text1"/>
              </w:rPr>
              <w:t>.</w:t>
            </w:r>
          </w:p>
          <w:p w14:paraId="39918532" w14:textId="77777777" w:rsidR="00FB7C0D" w:rsidRDefault="00FB7C0D" w:rsidP="00FB7C0D">
            <w:pPr>
              <w:ind w:left="589" w:right="567"/>
              <w:jc w:val="both"/>
              <w:rPr>
                <w:rFonts w:ascii="Arial Narrow" w:hAnsi="Arial Narrow"/>
                <w:bCs/>
                <w:color w:val="000000" w:themeColor="text1"/>
              </w:rPr>
            </w:pPr>
          </w:p>
          <w:p w14:paraId="1EAF948D" w14:textId="77777777" w:rsidR="00FB7C0D" w:rsidRDefault="00FB7C0D" w:rsidP="00FB7C0D">
            <w:pPr>
              <w:ind w:left="589" w:right="567"/>
              <w:jc w:val="both"/>
              <w:rPr>
                <w:rFonts w:ascii="Arial Narrow" w:hAnsi="Arial Narrow"/>
                <w:bCs/>
                <w:color w:val="000000" w:themeColor="text1"/>
                <w:lang w:val="es-CO"/>
              </w:rPr>
            </w:pPr>
            <w:r>
              <w:rPr>
                <w:rFonts w:ascii="Arial Narrow" w:hAnsi="Arial Narrow"/>
                <w:bCs/>
                <w:color w:val="000000" w:themeColor="text1"/>
              </w:rPr>
              <w:t xml:space="preserve">De conformidad con lo dispuesto en el </w:t>
            </w:r>
            <w:r>
              <w:rPr>
                <w:rFonts w:ascii="Arial Narrow" w:hAnsi="Arial Narrow"/>
                <w:color w:val="000000" w:themeColor="text1"/>
              </w:rPr>
              <w:t>a</w:t>
            </w:r>
            <w:r w:rsidRPr="0017086A">
              <w:rPr>
                <w:rFonts w:ascii="Arial Narrow" w:hAnsi="Arial Narrow"/>
                <w:color w:val="000000" w:themeColor="text1"/>
              </w:rPr>
              <w:t>rtículo 2.2.3.2.2.2.3.1</w:t>
            </w:r>
            <w:r>
              <w:rPr>
                <w:rStyle w:val="Refdenotaalpie"/>
                <w:rFonts w:ascii="Arial Narrow" w:hAnsi="Arial Narrow"/>
                <w:color w:val="000000" w:themeColor="text1"/>
              </w:rPr>
              <w:footnoteReference w:id="15"/>
            </w:r>
            <w:r w:rsidRPr="0017086A">
              <w:rPr>
                <w:rFonts w:ascii="Arial Narrow" w:hAnsi="Arial Narrow"/>
                <w:color w:val="000000" w:themeColor="text1"/>
              </w:rPr>
              <w:t xml:space="preserve"> del Decreto 1069 de 2016, modificado por el artículo 3 del Decreto 2137 de 2015</w:t>
            </w:r>
            <w:r>
              <w:rPr>
                <w:rStyle w:val="Refdenotaalpie"/>
                <w:rFonts w:ascii="Arial Narrow" w:hAnsi="Arial Narrow"/>
                <w:color w:val="000000" w:themeColor="text1"/>
              </w:rPr>
              <w:footnoteReference w:id="16"/>
            </w:r>
            <w:r>
              <w:rPr>
                <w:rFonts w:ascii="Arial Narrow" w:hAnsi="Arial Narrow"/>
                <w:color w:val="000000" w:themeColor="text1"/>
              </w:rPr>
              <w:t>, l</w:t>
            </w:r>
            <w:r>
              <w:rPr>
                <w:rFonts w:ascii="Arial Narrow" w:hAnsi="Arial Narrow"/>
                <w:bCs/>
                <w:color w:val="000000" w:themeColor="text1"/>
              </w:rPr>
              <w:t xml:space="preserve">a ANDJE hará un seguimiento y acompañamiento a las partes durante el trámite de la mediación y respecto de los acuerdos alcanzados para </w:t>
            </w:r>
            <w:r w:rsidRPr="00D92A98">
              <w:rPr>
                <w:rFonts w:ascii="Arial Narrow" w:hAnsi="Arial Narrow"/>
                <w:bCs/>
                <w:color w:val="000000" w:themeColor="text1"/>
              </w:rPr>
              <w:t>impulsar las gestiones administrativas o judiciales requeridas para dar cumplimiento a lo acordado</w:t>
            </w:r>
            <w:r>
              <w:rPr>
                <w:rFonts w:ascii="Arial Narrow" w:hAnsi="Arial Narrow"/>
                <w:bCs/>
                <w:color w:val="000000" w:themeColor="text1"/>
              </w:rPr>
              <w:t>.</w:t>
            </w:r>
          </w:p>
          <w:p w14:paraId="50E2A057" w14:textId="77777777" w:rsidR="00FB7C0D" w:rsidRDefault="00FB7C0D" w:rsidP="00FB7C0D">
            <w:pPr>
              <w:ind w:left="589" w:right="567"/>
              <w:jc w:val="both"/>
              <w:rPr>
                <w:rFonts w:ascii="Arial Narrow" w:hAnsi="Arial Narrow"/>
                <w:bCs/>
                <w:color w:val="000000" w:themeColor="text1"/>
                <w:lang w:val="es-CO"/>
              </w:rPr>
            </w:pPr>
          </w:p>
          <w:p w14:paraId="212E0F83" w14:textId="6C2DE616" w:rsidR="00FB7C0D" w:rsidRDefault="00FB7C0D" w:rsidP="00FB7C0D">
            <w:pPr>
              <w:ind w:left="589" w:right="567"/>
              <w:jc w:val="both"/>
              <w:rPr>
                <w:rFonts w:ascii="Arial Narrow" w:hAnsi="Arial Narrow"/>
                <w:bCs/>
                <w:color w:val="000000" w:themeColor="text1"/>
                <w:lang w:val="es-CO"/>
              </w:rPr>
            </w:pPr>
            <w:r>
              <w:rPr>
                <w:rFonts w:ascii="Arial Narrow" w:hAnsi="Arial Narrow"/>
                <w:bCs/>
                <w:color w:val="000000" w:themeColor="text1"/>
                <w:lang w:val="es-CO"/>
              </w:rPr>
              <w:t xml:space="preserve">Finalmente, el </w:t>
            </w:r>
            <w:r w:rsidRPr="00B732D0">
              <w:rPr>
                <w:rFonts w:ascii="Arial Narrow" w:hAnsi="Arial Narrow"/>
                <w:bCs/>
                <w:color w:val="000000" w:themeColor="text1"/>
                <w:lang w:val="es-CO"/>
              </w:rPr>
              <w:t xml:space="preserve">artículo </w:t>
            </w:r>
            <w:r w:rsidRPr="005144C3">
              <w:rPr>
                <w:rFonts w:ascii="Arial Narrow" w:hAnsi="Arial Narrow"/>
                <w:bCs/>
                <w:color w:val="000000" w:themeColor="text1"/>
                <w:lang w:val="es-CO"/>
              </w:rPr>
              <w:t>2.2.3.2.2.2.3.</w:t>
            </w:r>
            <w:r w:rsidR="0054648E">
              <w:rPr>
                <w:rFonts w:ascii="Arial Narrow" w:hAnsi="Arial Narrow"/>
                <w:bCs/>
                <w:color w:val="000000" w:themeColor="text1"/>
                <w:lang w:val="es-CO"/>
              </w:rPr>
              <w:t>3</w:t>
            </w:r>
            <w:r w:rsidRPr="005144C3">
              <w:rPr>
                <w:rFonts w:ascii="Arial Narrow" w:hAnsi="Arial Narrow"/>
                <w:bCs/>
                <w:color w:val="000000" w:themeColor="text1"/>
                <w:lang w:val="es-CO"/>
              </w:rPr>
              <w:t>.</w:t>
            </w:r>
            <w:r>
              <w:rPr>
                <w:rStyle w:val="Refdenotaalpie"/>
                <w:rFonts w:ascii="Arial Narrow" w:hAnsi="Arial Narrow"/>
                <w:bCs/>
                <w:color w:val="000000" w:themeColor="text1"/>
                <w:lang w:val="es-CO"/>
              </w:rPr>
              <w:footnoteReference w:id="17"/>
            </w:r>
            <w:r w:rsidRPr="00B732D0">
              <w:rPr>
                <w:rFonts w:ascii="Arial Narrow" w:hAnsi="Arial Narrow"/>
                <w:bCs/>
                <w:color w:val="000000" w:themeColor="text1"/>
                <w:lang w:val="es-CO"/>
              </w:rPr>
              <w:t xml:space="preserve"> ibidem dispone que la</w:t>
            </w:r>
            <w:r>
              <w:rPr>
                <w:rFonts w:ascii="Arial Narrow" w:hAnsi="Arial Narrow"/>
                <w:bCs/>
                <w:color w:val="000000" w:themeColor="text1"/>
                <w:lang w:val="es-CO"/>
              </w:rPr>
              <w:t xml:space="preserve"> mediación concluye cuando las partes lleguen a una solución que ponga fin a la controversia, ya sea de manera parcial o total, por iniciativa del mediador, </w:t>
            </w:r>
            <w:r w:rsidRPr="009F0CD4">
              <w:rPr>
                <w:rFonts w:ascii="Arial Narrow" w:hAnsi="Arial Narrow"/>
                <w:bCs/>
                <w:color w:val="000000" w:themeColor="text1"/>
              </w:rPr>
              <w:t xml:space="preserve">si este estima de manera razonada que extender la mediación tiene pocas posibilidades de resolver el conflicto y las entidades involucradas están de acuerdo con </w:t>
            </w:r>
            <w:r>
              <w:rPr>
                <w:rFonts w:ascii="Arial Narrow" w:hAnsi="Arial Narrow"/>
                <w:bCs/>
                <w:color w:val="000000" w:themeColor="text1"/>
              </w:rPr>
              <w:t xml:space="preserve">esa evaluación o por manifestación conjunta de las entidades, </w:t>
            </w:r>
            <w:r w:rsidRPr="005144C3">
              <w:rPr>
                <w:rFonts w:ascii="Arial Narrow" w:hAnsi="Arial Narrow"/>
                <w:bCs/>
                <w:color w:val="000000" w:themeColor="text1"/>
                <w:lang w:val="es-CO"/>
              </w:rPr>
              <w:t>en cualquier momento después de la primera sesión del trámite de mediación y antes de la firma de cualquier fórmula de arreglo que ponga fin</w:t>
            </w:r>
            <w:r>
              <w:rPr>
                <w:rFonts w:ascii="Arial Narrow" w:hAnsi="Arial Narrow"/>
                <w:bCs/>
                <w:color w:val="000000" w:themeColor="text1"/>
                <w:lang w:val="es-CO"/>
              </w:rPr>
              <w:t xml:space="preserve"> al conflicto.</w:t>
            </w:r>
          </w:p>
          <w:p w14:paraId="7E192E97" w14:textId="77777777" w:rsidR="00FB7C0D" w:rsidRDefault="00FB7C0D" w:rsidP="0096478A">
            <w:pPr>
              <w:pStyle w:val="TableParagraph"/>
              <w:ind w:left="1658" w:right="1692"/>
              <w:jc w:val="center"/>
              <w:rPr>
                <w:rFonts w:ascii="Arial Narrow" w:hAnsi="Arial Narrow"/>
                <w:b/>
                <w:color w:val="000000" w:themeColor="text1"/>
                <w:lang w:val="es-CO"/>
              </w:rPr>
            </w:pPr>
          </w:p>
        </w:tc>
      </w:tr>
      <w:tr w:rsidR="00392BD5" w:rsidRPr="007F2B6C" w14:paraId="76E12E5B" w14:textId="77777777" w:rsidTr="33E7A172">
        <w:trPr>
          <w:trHeight w:val="4000"/>
        </w:trPr>
        <w:tc>
          <w:tcPr>
            <w:tcW w:w="5000"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1601B" w14:textId="77777777" w:rsidR="00763D3B" w:rsidRPr="00635487" w:rsidRDefault="00763D3B" w:rsidP="00763D3B">
            <w:pPr>
              <w:pStyle w:val="Prrafodelista"/>
              <w:rPr>
                <w:rFonts w:ascii="Arial Narrow" w:hAnsi="Arial Narrow"/>
                <w:b/>
                <w:color w:val="000000" w:themeColor="text1"/>
                <w:highlight w:val="yellow"/>
                <w:lang w:val="es-CO"/>
              </w:rPr>
            </w:pPr>
          </w:p>
          <w:p w14:paraId="5E095EC3" w14:textId="5D4602BE" w:rsidR="00A826BD" w:rsidRPr="00F02DE2" w:rsidRDefault="00763D3B" w:rsidP="001E3F61">
            <w:pPr>
              <w:pStyle w:val="Prrafodelista"/>
              <w:numPr>
                <w:ilvl w:val="0"/>
                <w:numId w:val="2"/>
              </w:numPr>
              <w:ind w:left="836" w:right="567"/>
              <w:jc w:val="both"/>
              <w:rPr>
                <w:rFonts w:ascii="Arial Narrow" w:hAnsi="Arial Narrow"/>
                <w:b/>
                <w:color w:val="000000" w:themeColor="text1"/>
                <w:lang w:val="es-CO"/>
              </w:rPr>
            </w:pPr>
            <w:r w:rsidRPr="00F02DE2">
              <w:rPr>
                <w:rFonts w:ascii="Arial Narrow" w:hAnsi="Arial Narrow"/>
                <w:b/>
                <w:color w:val="000000" w:themeColor="text1"/>
                <w:lang w:val="es-CO"/>
              </w:rPr>
              <w:t>Hechos</w:t>
            </w:r>
            <w:r w:rsidR="00B04A0B">
              <w:rPr>
                <w:rFonts w:ascii="Arial Narrow" w:hAnsi="Arial Narrow"/>
                <w:b/>
                <w:color w:val="000000" w:themeColor="text1"/>
                <w:lang w:val="es-CO"/>
              </w:rPr>
              <w:t xml:space="preserve"> aducidos en </w:t>
            </w:r>
            <w:r w:rsidR="002003F6">
              <w:rPr>
                <w:rFonts w:ascii="Arial Narrow" w:hAnsi="Arial Narrow"/>
                <w:b/>
                <w:color w:val="000000" w:themeColor="text1"/>
                <w:lang w:val="es-CO"/>
              </w:rPr>
              <w:t>la demanda</w:t>
            </w:r>
          </w:p>
          <w:p w14:paraId="00075ED3" w14:textId="77777777" w:rsidR="00A21537" w:rsidRPr="00A21537" w:rsidRDefault="00A21537" w:rsidP="00A21537">
            <w:pPr>
              <w:ind w:right="567"/>
              <w:jc w:val="both"/>
              <w:rPr>
                <w:rFonts w:ascii="Arial Narrow" w:eastAsia="Calibri" w:hAnsi="Arial Narrow"/>
                <w:bCs/>
                <w:color w:val="000000"/>
                <w:lang w:val="es-CO"/>
              </w:rPr>
            </w:pPr>
          </w:p>
          <w:p w14:paraId="625D6521"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El 23 de septiembre de 2011, el Ministerio de la Protección Social y las sociedades fiduciarias que conformaron el Consorcio SAYP 2011, suscribieron el Contrato de encargo fiduciario nro. 467 de 2011.</w:t>
            </w:r>
          </w:p>
          <w:p w14:paraId="2378EB57" w14:textId="77777777" w:rsidR="00A21537" w:rsidRDefault="00A21537" w:rsidP="00A21537">
            <w:pPr>
              <w:pStyle w:val="Prrafodelista"/>
              <w:ind w:left="589" w:right="567"/>
              <w:jc w:val="both"/>
              <w:rPr>
                <w:rFonts w:ascii="Arial Narrow" w:eastAsia="Calibri" w:hAnsi="Arial Narrow"/>
                <w:bCs/>
                <w:color w:val="000000"/>
                <w:lang w:val="es-CO"/>
              </w:rPr>
            </w:pPr>
          </w:p>
          <w:p w14:paraId="2A0BA80E"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El día 31 de julio de 2017 terminó la ejecución del Contrato de encargo fiduciario nro. 467 de 2011.</w:t>
            </w:r>
          </w:p>
          <w:p w14:paraId="1C3AF36F" w14:textId="77777777" w:rsidR="00A21537" w:rsidRPr="00A21537" w:rsidRDefault="00A21537" w:rsidP="00A21537">
            <w:pPr>
              <w:pStyle w:val="Prrafodelista"/>
              <w:rPr>
                <w:rFonts w:ascii="Arial Narrow" w:eastAsia="Calibri" w:hAnsi="Arial Narrow"/>
                <w:bCs/>
                <w:color w:val="000000"/>
                <w:lang w:val="es-CO"/>
              </w:rPr>
            </w:pPr>
          </w:p>
          <w:p w14:paraId="12ACD3B5"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A partir del 31 de junio de 2017, el Consorcio SAYP 2011 inició la entrega de los soportes documentales y archivos relacionados con la ejecución del contrato a la ADRES. De lo cual se emitió acta final de entrega suscrita el 28 de noviembre de 2018.</w:t>
            </w:r>
          </w:p>
          <w:p w14:paraId="0B4289E5" w14:textId="77777777" w:rsidR="00A21537" w:rsidRPr="00A21537" w:rsidRDefault="00A21537" w:rsidP="00A21537">
            <w:pPr>
              <w:pStyle w:val="Prrafodelista"/>
              <w:rPr>
                <w:rFonts w:ascii="Arial Narrow" w:eastAsia="Calibri" w:hAnsi="Arial Narrow"/>
                <w:bCs/>
                <w:color w:val="000000"/>
                <w:lang w:val="es-CO"/>
              </w:rPr>
            </w:pPr>
          </w:p>
          <w:p w14:paraId="67D2B5F4"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El 14 de junio de 2019, la firma interventora JAHV McGregor S.A. presentó a la ADRES propuesta de metodología para hacer el balance final de la ejecución del contrato de encargo fiduciario nro. 467 de 2011.</w:t>
            </w:r>
          </w:p>
          <w:p w14:paraId="199B50DF" w14:textId="77777777" w:rsidR="00A21537" w:rsidRPr="00A21537" w:rsidRDefault="00A21537" w:rsidP="00A21537">
            <w:pPr>
              <w:pStyle w:val="Prrafodelista"/>
              <w:rPr>
                <w:rFonts w:ascii="Arial Narrow" w:eastAsia="Calibri" w:hAnsi="Arial Narrow"/>
                <w:bCs/>
                <w:color w:val="000000"/>
                <w:lang w:val="es-CO"/>
              </w:rPr>
            </w:pPr>
          </w:p>
          <w:p w14:paraId="1013E379"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Durante el desarrollo del contrato de encargo fiduciario nro. 467 de 2011 nunca se informó que se establecería una metodología para evaluar el cumplimiento de las obligaciones contractuales.</w:t>
            </w:r>
          </w:p>
          <w:p w14:paraId="660A47DC" w14:textId="77777777" w:rsidR="00A21537" w:rsidRPr="00A21537" w:rsidRDefault="00A21537" w:rsidP="00A21537">
            <w:pPr>
              <w:pStyle w:val="Prrafodelista"/>
              <w:rPr>
                <w:rFonts w:ascii="Arial Narrow" w:eastAsia="Calibri" w:hAnsi="Arial Narrow"/>
                <w:bCs/>
                <w:color w:val="000000"/>
                <w:lang w:val="es-CO"/>
              </w:rPr>
            </w:pPr>
          </w:p>
          <w:p w14:paraId="046F48D0"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El 17 de junio de 2019, la ADRES remitió al Consorcio SAYP 2011 la metodología propuesta por JAHV Mcgregor y el Informe Final de Interventoría del contrato de encargo fiduciario nro. 467 de 2011.</w:t>
            </w:r>
          </w:p>
          <w:p w14:paraId="3C48FBA6" w14:textId="77777777" w:rsidR="00A21537" w:rsidRPr="00A21537" w:rsidRDefault="00A21537" w:rsidP="00A21537">
            <w:pPr>
              <w:pStyle w:val="Prrafodelista"/>
              <w:rPr>
                <w:rFonts w:ascii="Arial Narrow" w:eastAsia="Calibri" w:hAnsi="Arial Narrow"/>
                <w:bCs/>
                <w:color w:val="000000"/>
                <w:lang w:val="es-CO"/>
              </w:rPr>
            </w:pPr>
          </w:p>
          <w:p w14:paraId="1B326726"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 xml:space="preserve">El 21 de noviembre de 2019, el Consorcio SAYP 2011 formuló sus observaciones a la metodología y al Informe Final </w:t>
            </w:r>
            <w:r w:rsidRPr="00A21537">
              <w:rPr>
                <w:rFonts w:ascii="Arial Narrow" w:eastAsia="Calibri" w:hAnsi="Arial Narrow"/>
                <w:bCs/>
                <w:color w:val="000000"/>
                <w:lang w:val="es-CO"/>
              </w:rPr>
              <w:lastRenderedPageBreak/>
              <w:t>de Interventoría del contrato de encargo fiduciario nro. 467 de 2011.</w:t>
            </w:r>
          </w:p>
          <w:p w14:paraId="77ABCA95" w14:textId="77777777" w:rsidR="00A21537" w:rsidRPr="00A21537" w:rsidRDefault="00A21537" w:rsidP="00A21537">
            <w:pPr>
              <w:pStyle w:val="Prrafodelista"/>
              <w:rPr>
                <w:rFonts w:ascii="Arial Narrow" w:eastAsia="Calibri" w:hAnsi="Arial Narrow"/>
                <w:bCs/>
                <w:color w:val="000000"/>
                <w:lang w:val="es-CO"/>
              </w:rPr>
            </w:pPr>
          </w:p>
          <w:p w14:paraId="4ABCD62E" w14:textId="77777777" w:rsidR="00A21537" w:rsidRP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 xml:space="preserve">El 16 de septiembre de 2020, JAHV McGregor presentó ante la ADRES la versión final del informe de interventoría denominado </w:t>
            </w:r>
            <w:r w:rsidRPr="00A21537">
              <w:rPr>
                <w:rFonts w:ascii="Arial Narrow" w:eastAsia="Calibri" w:hAnsi="Arial Narrow"/>
                <w:bCs/>
                <w:i/>
                <w:iCs/>
                <w:color w:val="000000"/>
                <w:lang w:val="es-CO"/>
              </w:rPr>
              <w:t>“Balance Final CTO 467 VF-2020”.</w:t>
            </w:r>
          </w:p>
          <w:p w14:paraId="4971737C" w14:textId="77777777" w:rsidR="00A21537" w:rsidRPr="00A21537" w:rsidRDefault="00A21537" w:rsidP="00A21537">
            <w:pPr>
              <w:pStyle w:val="Prrafodelista"/>
              <w:rPr>
                <w:rFonts w:ascii="Arial Narrow" w:eastAsia="Calibri" w:hAnsi="Arial Narrow"/>
                <w:bCs/>
                <w:color w:val="000000"/>
                <w:lang w:val="es-CO"/>
              </w:rPr>
            </w:pPr>
          </w:p>
          <w:p w14:paraId="0AFB7B98" w14:textId="77777777" w:rsidR="00A21537" w:rsidRDefault="00A21537" w:rsidP="00A21537">
            <w:pPr>
              <w:pStyle w:val="Prrafodelista"/>
              <w:numPr>
                <w:ilvl w:val="1"/>
                <w:numId w:val="19"/>
              </w:numPr>
              <w:ind w:left="589" w:right="567"/>
              <w:jc w:val="both"/>
              <w:rPr>
                <w:rFonts w:ascii="Arial Narrow" w:eastAsia="Calibri" w:hAnsi="Arial Narrow"/>
                <w:bCs/>
                <w:color w:val="000000"/>
                <w:lang w:val="es-CO"/>
              </w:rPr>
            </w:pPr>
            <w:r w:rsidRPr="00A21537">
              <w:rPr>
                <w:rFonts w:ascii="Arial Narrow" w:eastAsia="Calibri" w:hAnsi="Arial Narrow"/>
                <w:bCs/>
                <w:color w:val="000000"/>
                <w:lang w:val="es-CO"/>
              </w:rPr>
              <w:t>Desde que terminó el contrato de encargo fiduciario nro. 467 de 2011, funcionarios del Ministerio de Salud y Protección Social, ADRES, JAHV McGregor y delegados de las fiduciarias que conforman el Consorcio SAYP 2011 sostuvieron reuniones para procurar la liquidación bilateral del contrato.</w:t>
            </w:r>
          </w:p>
          <w:p w14:paraId="6CC13070" w14:textId="77777777" w:rsidR="00A21537" w:rsidRPr="00A21537" w:rsidRDefault="00A21537" w:rsidP="00A21537">
            <w:pPr>
              <w:pStyle w:val="Prrafodelista"/>
              <w:rPr>
                <w:rFonts w:ascii="Arial Narrow" w:eastAsia="Calibri" w:hAnsi="Arial Narrow"/>
                <w:bCs/>
                <w:color w:val="000000"/>
                <w:lang w:val="es-CO"/>
              </w:rPr>
            </w:pPr>
          </w:p>
          <w:p w14:paraId="6E35D670" w14:textId="77777777" w:rsidR="00A21537" w:rsidRDefault="00A21537" w:rsidP="00A21537">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26 de marzo de 2021, la ADRES remitió al Consorcio SAYP 2011 un proyecto de acta de liquidación bilateral del contrato de encargo fiduciario nro. 467 de 2011, en el que se estimaba que el Consorcio SAYP 2011 debía reintegrarle a la ADRES la suma de $2.820.213.083.</w:t>
            </w:r>
          </w:p>
          <w:p w14:paraId="227069D2" w14:textId="77777777" w:rsidR="00A21537" w:rsidRPr="00A21537" w:rsidRDefault="00A21537" w:rsidP="00A21537">
            <w:pPr>
              <w:pStyle w:val="Prrafodelista"/>
              <w:rPr>
                <w:rFonts w:ascii="Arial Narrow" w:eastAsia="Calibri" w:hAnsi="Arial Narrow"/>
                <w:bCs/>
                <w:color w:val="000000"/>
                <w:lang w:val="es-CO"/>
              </w:rPr>
            </w:pPr>
          </w:p>
          <w:p w14:paraId="7B89911D" w14:textId="77777777" w:rsidR="00A21537" w:rsidRDefault="00A21537" w:rsidP="00A21537">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23 de abril de 2021, la ADRES le remitió al Consorcio SAYP 2011 un nuevo proyecto de acta de liquidación bilateral del contrato de encargo fiduciario nro. 467 de 2011, en el que se estimaba que el Consorcio SAYP 2011 debía reintegrarle a la ADRES la suma de $1.340.156.845.</w:t>
            </w:r>
          </w:p>
          <w:p w14:paraId="6790F03B" w14:textId="77777777" w:rsidR="00A21537" w:rsidRPr="00A21537" w:rsidRDefault="00A21537" w:rsidP="00A21537">
            <w:pPr>
              <w:pStyle w:val="Prrafodelista"/>
              <w:rPr>
                <w:rFonts w:ascii="Arial Narrow" w:eastAsia="Calibri" w:hAnsi="Arial Narrow"/>
                <w:bCs/>
                <w:color w:val="000000"/>
                <w:lang w:val="es-CO"/>
              </w:rPr>
            </w:pPr>
          </w:p>
          <w:p w14:paraId="5ECE9332" w14:textId="77777777" w:rsidR="00A21537" w:rsidRDefault="00A21537" w:rsidP="00A21537">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4 de mayo de 2021, el Consorcio SAYP 2011 fue notificado de la Resolución 544 de 2021, mediante la cual la ADRES liquidó unilateralmente el contrato de encargo fiduciario nro. 467 de 2011, en el que se ordenó al Consorcio SAYP 2011 el reintegro de $1.340.156.845 y responder por los perjuicios que se llegaren a derivar para la ADRES por la pérdida de imágenes de recobros y reclamaciones del FOSYGA.</w:t>
            </w:r>
          </w:p>
          <w:p w14:paraId="35F1C96B" w14:textId="77777777" w:rsidR="00A21537" w:rsidRPr="00A21537" w:rsidRDefault="00A21537" w:rsidP="00A21537">
            <w:pPr>
              <w:pStyle w:val="Prrafodelista"/>
              <w:rPr>
                <w:rFonts w:ascii="Arial Narrow" w:eastAsia="Calibri" w:hAnsi="Arial Narrow"/>
                <w:bCs/>
                <w:color w:val="000000"/>
                <w:lang w:val="es-CO"/>
              </w:rPr>
            </w:pPr>
          </w:p>
          <w:p w14:paraId="0351E692" w14:textId="77777777" w:rsidR="00A21537" w:rsidRDefault="00A21537" w:rsidP="00A21537">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21 de mayo de 2021, las fiduciarias que conformaban el Consorcio SAYP 2011 radicaron recurso de reposición contra la Resolución 544 de 2021. Oficio en el que se solicitó decretar la práctica de varias pruebas.</w:t>
            </w:r>
          </w:p>
          <w:p w14:paraId="78072AD4" w14:textId="77777777" w:rsidR="00A21537" w:rsidRPr="00A21537" w:rsidRDefault="00A21537" w:rsidP="00A21537">
            <w:pPr>
              <w:pStyle w:val="Prrafodelista"/>
              <w:rPr>
                <w:rFonts w:ascii="Arial Narrow" w:eastAsia="Calibri" w:hAnsi="Arial Narrow"/>
                <w:bCs/>
                <w:color w:val="000000"/>
                <w:lang w:val="es-CO"/>
              </w:rPr>
            </w:pPr>
          </w:p>
          <w:p w14:paraId="1B5EA976" w14:textId="77777777" w:rsidR="00A21537" w:rsidRDefault="00A21537" w:rsidP="00A21537">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27 de mayo de 2021, la ADRES decidió decretar las pruebas documentales y negar las demás.</w:t>
            </w:r>
          </w:p>
          <w:p w14:paraId="1997E624" w14:textId="77777777" w:rsidR="00A21537" w:rsidRPr="00A21537" w:rsidRDefault="00A21537" w:rsidP="00A21537">
            <w:pPr>
              <w:pStyle w:val="Prrafodelista"/>
              <w:rPr>
                <w:rFonts w:ascii="Arial Narrow" w:eastAsia="Calibri" w:hAnsi="Arial Narrow"/>
                <w:bCs/>
                <w:color w:val="000000"/>
                <w:lang w:val="es-CO"/>
              </w:rPr>
            </w:pPr>
          </w:p>
          <w:p w14:paraId="4C6DCEDD" w14:textId="77777777" w:rsidR="00DE7A2E" w:rsidRDefault="00A21537" w:rsidP="00DE7A2E">
            <w:pPr>
              <w:pStyle w:val="Prrafodelista"/>
              <w:numPr>
                <w:ilvl w:val="1"/>
                <w:numId w:val="19"/>
              </w:numPr>
              <w:ind w:left="731" w:right="567" w:hanging="502"/>
              <w:jc w:val="both"/>
              <w:rPr>
                <w:rFonts w:ascii="Arial Narrow" w:eastAsia="Calibri" w:hAnsi="Arial Narrow"/>
                <w:bCs/>
                <w:color w:val="000000"/>
                <w:lang w:val="es-CO"/>
              </w:rPr>
            </w:pPr>
            <w:r w:rsidRPr="00A21537">
              <w:rPr>
                <w:rFonts w:ascii="Arial Narrow" w:eastAsia="Calibri" w:hAnsi="Arial Narrow"/>
                <w:bCs/>
                <w:color w:val="000000"/>
                <w:lang w:val="es-CO"/>
              </w:rPr>
              <w:t>El 28 de mayo de 2021, la ADRES emitió la Resolución 609 de 2021, por medio del cual resolvió el recurso de reposición interpuesto contra la Resolución 544 de 2021.</w:t>
            </w:r>
          </w:p>
          <w:p w14:paraId="2BA5D6BE" w14:textId="77777777" w:rsidR="00DE7A2E" w:rsidRPr="00DE7A2E" w:rsidRDefault="00DE7A2E" w:rsidP="00DE7A2E">
            <w:pPr>
              <w:pStyle w:val="Prrafodelista"/>
              <w:rPr>
                <w:rFonts w:ascii="Arial Narrow" w:eastAsia="Calibri" w:hAnsi="Arial Narrow"/>
                <w:bCs/>
                <w:color w:val="000000"/>
                <w:lang w:val="es-CO"/>
              </w:rPr>
            </w:pPr>
          </w:p>
          <w:p w14:paraId="675CF4F4" w14:textId="5957E9A2" w:rsidR="00DE7A2E" w:rsidRDefault="00DE7A2E" w:rsidP="00DE7A2E">
            <w:pPr>
              <w:pStyle w:val="Prrafodelista"/>
              <w:numPr>
                <w:ilvl w:val="1"/>
                <w:numId w:val="19"/>
              </w:numPr>
              <w:ind w:left="731" w:right="567" w:hanging="502"/>
              <w:jc w:val="both"/>
              <w:rPr>
                <w:rFonts w:ascii="Arial Narrow" w:eastAsia="Calibri" w:hAnsi="Arial Narrow"/>
                <w:bCs/>
                <w:color w:val="000000"/>
                <w:lang w:val="es-CO"/>
              </w:rPr>
            </w:pPr>
            <w:r w:rsidRPr="00DE7A2E">
              <w:rPr>
                <w:rFonts w:ascii="Arial Narrow" w:eastAsia="Calibri" w:hAnsi="Arial Narrow"/>
                <w:bCs/>
                <w:color w:val="000000"/>
                <w:lang w:val="es-CO"/>
              </w:rPr>
              <w:t>El 19 de julio de 2022 el Consorcio SAYP 2011 presentó solicitud de conciliación</w:t>
            </w:r>
            <w:r>
              <w:rPr>
                <w:rFonts w:ascii="Arial Narrow" w:eastAsia="Calibri" w:hAnsi="Arial Narrow"/>
                <w:bCs/>
                <w:color w:val="000000"/>
                <w:lang w:val="es-CO"/>
              </w:rPr>
              <w:t xml:space="preserve"> </w:t>
            </w:r>
            <w:r w:rsidRPr="00DE7A2E">
              <w:rPr>
                <w:rFonts w:ascii="Arial Narrow" w:eastAsia="Calibri" w:hAnsi="Arial Narrow"/>
                <w:bCs/>
                <w:color w:val="000000"/>
                <w:lang w:val="es-CO"/>
              </w:rPr>
              <w:t>extrajudicial contra la ADRES, con el objetivo de que se declare la nulidad de las</w:t>
            </w:r>
            <w:r>
              <w:rPr>
                <w:rFonts w:ascii="Arial Narrow" w:eastAsia="Calibri" w:hAnsi="Arial Narrow"/>
                <w:bCs/>
                <w:color w:val="000000"/>
                <w:lang w:val="es-CO"/>
              </w:rPr>
              <w:t xml:space="preserve"> </w:t>
            </w:r>
            <w:r w:rsidRPr="00DE7A2E">
              <w:rPr>
                <w:rFonts w:ascii="Arial Narrow" w:eastAsia="Calibri" w:hAnsi="Arial Narrow"/>
                <w:bCs/>
                <w:color w:val="000000"/>
                <w:lang w:val="es-CO"/>
              </w:rPr>
              <w:t>Resoluciones 544 y 609, ambas de 2021, se ordene el consecuente restablecimiento del</w:t>
            </w:r>
            <w:r>
              <w:rPr>
                <w:rFonts w:ascii="Arial Narrow" w:eastAsia="Calibri" w:hAnsi="Arial Narrow"/>
                <w:bCs/>
                <w:color w:val="000000"/>
                <w:lang w:val="es-CO"/>
              </w:rPr>
              <w:t xml:space="preserve"> </w:t>
            </w:r>
            <w:r w:rsidRPr="00DE7A2E">
              <w:rPr>
                <w:rFonts w:ascii="Arial Narrow" w:eastAsia="Calibri" w:hAnsi="Arial Narrow"/>
                <w:bCs/>
                <w:color w:val="000000"/>
                <w:lang w:val="es-CO"/>
              </w:rPr>
              <w:t>derecho y se ordene la liquidación judicial del Contrato de Encargo Fiduciario No. 467 de</w:t>
            </w:r>
            <w:r>
              <w:rPr>
                <w:rFonts w:ascii="Arial Narrow" w:eastAsia="Calibri" w:hAnsi="Arial Narrow"/>
                <w:bCs/>
                <w:color w:val="000000"/>
                <w:lang w:val="es-CO"/>
              </w:rPr>
              <w:t xml:space="preserve"> </w:t>
            </w:r>
            <w:r w:rsidRPr="00DE7A2E">
              <w:rPr>
                <w:rFonts w:ascii="Arial Narrow" w:eastAsia="Calibri" w:hAnsi="Arial Narrow"/>
                <w:bCs/>
                <w:color w:val="000000"/>
                <w:lang w:val="es-CO"/>
              </w:rPr>
              <w:t>2011.</w:t>
            </w:r>
          </w:p>
          <w:p w14:paraId="2A0500E1" w14:textId="77777777" w:rsidR="00DE7A2E" w:rsidRPr="00DE7A2E" w:rsidRDefault="00DE7A2E" w:rsidP="00DE7A2E">
            <w:pPr>
              <w:pStyle w:val="Prrafodelista"/>
              <w:rPr>
                <w:rFonts w:ascii="Arial Narrow" w:eastAsia="Calibri" w:hAnsi="Arial Narrow"/>
                <w:bCs/>
                <w:color w:val="000000"/>
                <w:lang w:val="es-CO"/>
              </w:rPr>
            </w:pPr>
          </w:p>
          <w:p w14:paraId="3E17704C" w14:textId="592EE88E" w:rsidR="00DE7A2E" w:rsidRDefault="00DE7A2E" w:rsidP="00DE7A2E">
            <w:pPr>
              <w:pStyle w:val="Prrafodelista"/>
              <w:numPr>
                <w:ilvl w:val="1"/>
                <w:numId w:val="19"/>
              </w:numPr>
              <w:ind w:left="731" w:right="567" w:hanging="502"/>
              <w:jc w:val="both"/>
              <w:rPr>
                <w:rFonts w:ascii="Arial Narrow" w:eastAsia="Calibri" w:hAnsi="Arial Narrow"/>
                <w:bCs/>
                <w:color w:val="000000"/>
                <w:lang w:val="es-CO"/>
              </w:rPr>
            </w:pPr>
            <w:r w:rsidRPr="00DE7A2E">
              <w:rPr>
                <w:rFonts w:ascii="Arial Narrow" w:eastAsia="Calibri" w:hAnsi="Arial Narrow"/>
                <w:bCs/>
                <w:color w:val="000000"/>
                <w:lang w:val="es-CO"/>
              </w:rPr>
              <w:t>La solicitud de conciliación presentada por el Consorcio SAYP 2011 fue asignada por</w:t>
            </w:r>
            <w:r>
              <w:rPr>
                <w:rFonts w:ascii="Arial Narrow" w:eastAsia="Calibri" w:hAnsi="Arial Narrow"/>
                <w:bCs/>
                <w:color w:val="000000"/>
                <w:lang w:val="es-CO"/>
              </w:rPr>
              <w:t xml:space="preserve"> </w:t>
            </w:r>
            <w:r w:rsidRPr="00DE7A2E">
              <w:rPr>
                <w:rFonts w:ascii="Arial Narrow" w:eastAsia="Calibri" w:hAnsi="Arial Narrow"/>
                <w:bCs/>
                <w:color w:val="000000"/>
                <w:lang w:val="es-CO"/>
              </w:rPr>
              <w:t>reparto a la Procuraduría 55 Judicial II para Asuntos Administrativos bajo el radicado E-</w:t>
            </w:r>
            <w:r>
              <w:rPr>
                <w:rFonts w:ascii="Arial Narrow" w:eastAsia="Calibri" w:hAnsi="Arial Narrow"/>
                <w:bCs/>
                <w:color w:val="000000"/>
                <w:lang w:val="es-CO"/>
              </w:rPr>
              <w:t xml:space="preserve"> </w:t>
            </w:r>
            <w:r w:rsidRPr="00DE7A2E">
              <w:rPr>
                <w:rFonts w:ascii="Arial Narrow" w:eastAsia="Calibri" w:hAnsi="Arial Narrow"/>
                <w:bCs/>
                <w:color w:val="000000"/>
                <w:lang w:val="es-CO"/>
              </w:rPr>
              <w:t>2022-422346</w:t>
            </w:r>
            <w:r>
              <w:rPr>
                <w:rFonts w:ascii="Arial Narrow" w:eastAsia="Calibri" w:hAnsi="Arial Narrow"/>
                <w:bCs/>
                <w:color w:val="000000"/>
                <w:lang w:val="es-CO"/>
              </w:rPr>
              <w:t xml:space="preserve"> y </w:t>
            </w:r>
            <w:r w:rsidRPr="00DE7A2E">
              <w:rPr>
                <w:rFonts w:ascii="Arial Narrow" w:eastAsia="Calibri" w:hAnsi="Arial Narrow"/>
                <w:bCs/>
                <w:color w:val="000000"/>
                <w:lang w:val="es-CO"/>
              </w:rPr>
              <w:t>audiencia de conciliación realizada el 1</w:t>
            </w:r>
            <w:r>
              <w:rPr>
                <w:rFonts w:ascii="Arial Narrow" w:eastAsia="Calibri" w:hAnsi="Arial Narrow"/>
                <w:bCs/>
                <w:color w:val="000000"/>
                <w:lang w:val="es-CO"/>
              </w:rPr>
              <w:t>º</w:t>
            </w:r>
            <w:r w:rsidRPr="00DE7A2E">
              <w:rPr>
                <w:rFonts w:ascii="Arial Narrow" w:eastAsia="Calibri" w:hAnsi="Arial Narrow"/>
                <w:bCs/>
                <w:color w:val="000000"/>
                <w:lang w:val="es-CO"/>
              </w:rPr>
              <w:t xml:space="preserve"> de junio de 2023, la ADRES y las fiduciarias</w:t>
            </w:r>
            <w:r>
              <w:rPr>
                <w:rFonts w:ascii="Arial Narrow" w:eastAsia="Calibri" w:hAnsi="Arial Narrow"/>
                <w:bCs/>
                <w:color w:val="000000"/>
                <w:lang w:val="es-CO"/>
              </w:rPr>
              <w:t xml:space="preserve"> </w:t>
            </w:r>
            <w:r w:rsidRPr="00DE7A2E">
              <w:rPr>
                <w:rFonts w:ascii="Arial Narrow" w:eastAsia="Calibri" w:hAnsi="Arial Narrow"/>
                <w:bCs/>
                <w:color w:val="000000"/>
                <w:lang w:val="es-CO"/>
              </w:rPr>
              <w:t xml:space="preserve">integrantes del Consorcio </w:t>
            </w:r>
            <w:r>
              <w:rPr>
                <w:rFonts w:ascii="Arial Narrow" w:eastAsia="Calibri" w:hAnsi="Arial Narrow"/>
                <w:bCs/>
                <w:color w:val="000000"/>
                <w:lang w:val="es-CO"/>
              </w:rPr>
              <w:t>SAYP</w:t>
            </w:r>
            <w:r w:rsidRPr="00DE7A2E">
              <w:rPr>
                <w:rFonts w:ascii="Arial Narrow" w:eastAsia="Calibri" w:hAnsi="Arial Narrow"/>
                <w:bCs/>
                <w:color w:val="000000"/>
                <w:lang w:val="es-CO"/>
              </w:rPr>
              <w:t xml:space="preserve"> 2011, suscribieron el acuerdo conciliatorio, mediante el</w:t>
            </w:r>
            <w:r>
              <w:rPr>
                <w:rFonts w:ascii="Arial Narrow" w:eastAsia="Calibri" w:hAnsi="Arial Narrow"/>
                <w:bCs/>
                <w:color w:val="000000"/>
                <w:lang w:val="es-CO"/>
              </w:rPr>
              <w:t xml:space="preserve"> </w:t>
            </w:r>
            <w:r w:rsidRPr="00DE7A2E">
              <w:rPr>
                <w:rFonts w:ascii="Arial Narrow" w:eastAsia="Calibri" w:hAnsi="Arial Narrow"/>
                <w:bCs/>
                <w:color w:val="000000"/>
                <w:lang w:val="es-CO"/>
              </w:rPr>
              <w:t>cual conciliaron en su totalidad las controversias económicas surgidas con ocasión de la</w:t>
            </w:r>
            <w:r>
              <w:rPr>
                <w:rFonts w:ascii="Arial Narrow" w:eastAsia="Calibri" w:hAnsi="Arial Narrow"/>
                <w:bCs/>
                <w:color w:val="000000"/>
                <w:lang w:val="es-CO"/>
              </w:rPr>
              <w:t xml:space="preserve"> </w:t>
            </w:r>
            <w:r w:rsidRPr="00DE7A2E">
              <w:rPr>
                <w:rFonts w:ascii="Arial Narrow" w:eastAsia="Calibri" w:hAnsi="Arial Narrow"/>
                <w:bCs/>
                <w:color w:val="000000"/>
                <w:lang w:val="es-CO"/>
              </w:rPr>
              <w:t>expedición de las Resoluciones 544 y 609, ambas de 2021.</w:t>
            </w:r>
            <w:r>
              <w:rPr>
                <w:rFonts w:ascii="Arial Narrow" w:eastAsia="Calibri" w:hAnsi="Arial Narrow"/>
                <w:bCs/>
                <w:color w:val="000000"/>
                <w:lang w:val="es-CO"/>
              </w:rPr>
              <w:t xml:space="preserve"> </w:t>
            </w:r>
            <w:r w:rsidRPr="00DE7A2E">
              <w:rPr>
                <w:rFonts w:ascii="Arial Narrow" w:eastAsia="Calibri" w:hAnsi="Arial Narrow"/>
                <w:bCs/>
                <w:color w:val="000000"/>
                <w:lang w:val="es-CO"/>
              </w:rPr>
              <w:t>En la misma audiencia de conciliación, la Procuraduría 55 Judicial II para Asuntos</w:t>
            </w:r>
            <w:r>
              <w:rPr>
                <w:rFonts w:ascii="Arial Narrow" w:eastAsia="Calibri" w:hAnsi="Arial Narrow"/>
                <w:bCs/>
                <w:color w:val="000000"/>
                <w:lang w:val="es-CO"/>
              </w:rPr>
              <w:t xml:space="preserve"> </w:t>
            </w:r>
            <w:r w:rsidRPr="00DE7A2E">
              <w:rPr>
                <w:rFonts w:ascii="Arial Narrow" w:eastAsia="Calibri" w:hAnsi="Arial Narrow"/>
                <w:bCs/>
                <w:color w:val="000000"/>
                <w:lang w:val="es-CO"/>
              </w:rPr>
              <w:t>Administrativos realizó examen de legalidad del acuerdo conciliatorio y se pronunció</w:t>
            </w:r>
            <w:r>
              <w:rPr>
                <w:rFonts w:ascii="Arial Narrow" w:eastAsia="Calibri" w:hAnsi="Arial Narrow"/>
                <w:bCs/>
                <w:color w:val="000000"/>
                <w:lang w:val="es-CO"/>
              </w:rPr>
              <w:t xml:space="preserve"> </w:t>
            </w:r>
            <w:r w:rsidRPr="00DE7A2E">
              <w:rPr>
                <w:rFonts w:ascii="Arial Narrow" w:eastAsia="Calibri" w:hAnsi="Arial Narrow"/>
                <w:bCs/>
                <w:color w:val="000000"/>
                <w:lang w:val="es-CO"/>
              </w:rPr>
              <w:t>respecto de este, estimando que este cumplía con las exigencias normativas</w:t>
            </w:r>
            <w:r>
              <w:rPr>
                <w:rFonts w:ascii="Arial Narrow" w:eastAsia="Calibri" w:hAnsi="Arial Narrow"/>
                <w:bCs/>
                <w:color w:val="000000"/>
                <w:lang w:val="es-CO"/>
              </w:rPr>
              <w:t xml:space="preserve"> </w:t>
            </w:r>
            <w:r w:rsidRPr="00DE7A2E">
              <w:rPr>
                <w:rFonts w:ascii="Arial Narrow" w:eastAsia="Calibri" w:hAnsi="Arial Narrow"/>
                <w:bCs/>
                <w:color w:val="000000"/>
                <w:lang w:val="es-CO"/>
              </w:rPr>
              <w:t xml:space="preserve">requeridas para su viabilidad y ordenando la remisión del expediente a la </w:t>
            </w:r>
            <w:r w:rsidR="00516EDC" w:rsidRPr="00DE7A2E">
              <w:rPr>
                <w:rFonts w:ascii="Arial Narrow" w:eastAsia="Calibri" w:hAnsi="Arial Narrow"/>
                <w:bCs/>
                <w:color w:val="000000"/>
                <w:lang w:val="es-CO"/>
              </w:rPr>
              <w:t>Sección Tercera</w:t>
            </w:r>
            <w:r w:rsidRPr="00DE7A2E">
              <w:rPr>
                <w:rFonts w:ascii="Arial Narrow" w:eastAsia="Calibri" w:hAnsi="Arial Narrow"/>
                <w:bCs/>
                <w:color w:val="000000"/>
                <w:lang w:val="es-CO"/>
              </w:rPr>
              <w:t xml:space="preserve"> del Tribunal Administrativo de Cundinamarca, para que dicha corporación</w:t>
            </w:r>
            <w:r>
              <w:rPr>
                <w:rFonts w:ascii="Arial Narrow" w:eastAsia="Calibri" w:hAnsi="Arial Narrow"/>
                <w:bCs/>
                <w:color w:val="000000"/>
                <w:lang w:val="es-CO"/>
              </w:rPr>
              <w:t xml:space="preserve"> </w:t>
            </w:r>
            <w:r w:rsidRPr="00DE7A2E">
              <w:rPr>
                <w:rFonts w:ascii="Arial Narrow" w:eastAsia="Calibri" w:hAnsi="Arial Narrow"/>
                <w:bCs/>
                <w:color w:val="000000"/>
                <w:lang w:val="es-CO"/>
              </w:rPr>
              <w:t>realice el control de legalidad contemplado en el artículo 113 de la Ley 2220 de 2022.</w:t>
            </w:r>
          </w:p>
          <w:p w14:paraId="0B146D63" w14:textId="77777777" w:rsidR="004E7601" w:rsidRPr="004E7601" w:rsidRDefault="004E7601" w:rsidP="004E7601">
            <w:pPr>
              <w:ind w:right="567"/>
              <w:jc w:val="both"/>
              <w:rPr>
                <w:rFonts w:ascii="Arial Narrow" w:eastAsia="Calibri" w:hAnsi="Arial Narrow"/>
                <w:bCs/>
                <w:color w:val="000000"/>
                <w:lang w:val="es-CO"/>
              </w:rPr>
            </w:pPr>
          </w:p>
          <w:p w14:paraId="04DB1B32" w14:textId="77777777" w:rsidR="00BF38BD" w:rsidRPr="007F2B6C" w:rsidRDefault="00A826BD" w:rsidP="001E3F61">
            <w:pPr>
              <w:pStyle w:val="Prrafodelista"/>
              <w:numPr>
                <w:ilvl w:val="0"/>
                <w:numId w:val="2"/>
              </w:numPr>
              <w:ind w:left="836" w:right="567"/>
              <w:jc w:val="both"/>
              <w:rPr>
                <w:rFonts w:ascii="Arial Narrow" w:eastAsia="Calibri" w:hAnsi="Arial Narrow"/>
                <w:b/>
                <w:color w:val="000000" w:themeColor="text1"/>
                <w:lang w:val="es-CO"/>
              </w:rPr>
            </w:pPr>
            <w:r w:rsidRPr="007F2B6C">
              <w:rPr>
                <w:rFonts w:ascii="Arial Narrow" w:eastAsia="Calibri" w:hAnsi="Arial Narrow"/>
                <w:b/>
                <w:color w:val="000000" w:themeColor="text1"/>
                <w:lang w:val="es-CO"/>
              </w:rPr>
              <w:t>Pretensiones</w:t>
            </w:r>
          </w:p>
          <w:p w14:paraId="2EA22A24" w14:textId="77777777" w:rsidR="00315676" w:rsidRDefault="00315676" w:rsidP="00315676">
            <w:pPr>
              <w:ind w:right="567"/>
              <w:jc w:val="both"/>
              <w:rPr>
                <w:rFonts w:ascii="Arial Narrow" w:eastAsia="Calibri" w:hAnsi="Arial Narrow"/>
                <w:bCs/>
                <w:color w:val="000000"/>
                <w:lang w:val="es-CO"/>
              </w:rPr>
            </w:pPr>
          </w:p>
          <w:p w14:paraId="252FE6D5" w14:textId="77777777" w:rsidR="003E17EC" w:rsidRDefault="00315676" w:rsidP="003E17EC">
            <w:pPr>
              <w:pStyle w:val="Prrafodelista"/>
              <w:numPr>
                <w:ilvl w:val="1"/>
                <w:numId w:val="20"/>
              </w:numPr>
              <w:ind w:left="589" w:right="567"/>
              <w:jc w:val="both"/>
              <w:rPr>
                <w:rFonts w:ascii="Arial Narrow" w:eastAsia="Calibri" w:hAnsi="Arial Narrow"/>
                <w:bCs/>
                <w:color w:val="000000"/>
                <w:lang w:val="es-CO"/>
              </w:rPr>
            </w:pPr>
            <w:r w:rsidRPr="00315676">
              <w:rPr>
                <w:rFonts w:ascii="Arial Narrow" w:eastAsia="Calibri" w:hAnsi="Arial Narrow"/>
                <w:bCs/>
                <w:color w:val="000000"/>
                <w:lang w:val="es-CO"/>
              </w:rPr>
              <w:t xml:space="preserve">Se declare la nulidad de las Resoluciones nro. 544 y nro. 609 del 2021, expedidas por la ADRES. </w:t>
            </w:r>
          </w:p>
          <w:p w14:paraId="45AD834C" w14:textId="77777777" w:rsidR="003E17EC" w:rsidRDefault="003E17EC" w:rsidP="003E17EC">
            <w:pPr>
              <w:pStyle w:val="Prrafodelista"/>
              <w:ind w:left="589" w:right="567"/>
              <w:jc w:val="both"/>
              <w:rPr>
                <w:rFonts w:ascii="Arial Narrow" w:eastAsia="Calibri" w:hAnsi="Arial Narrow"/>
                <w:bCs/>
                <w:color w:val="000000"/>
                <w:lang w:val="es-CO"/>
              </w:rPr>
            </w:pPr>
          </w:p>
          <w:p w14:paraId="1A884057" w14:textId="77777777" w:rsidR="003E17EC" w:rsidRDefault="00315676" w:rsidP="003E17EC">
            <w:pPr>
              <w:pStyle w:val="Prrafodelista"/>
              <w:numPr>
                <w:ilvl w:val="1"/>
                <w:numId w:val="20"/>
              </w:numPr>
              <w:ind w:left="589" w:right="567"/>
              <w:jc w:val="both"/>
              <w:rPr>
                <w:rFonts w:ascii="Arial Narrow" w:eastAsia="Calibri" w:hAnsi="Arial Narrow"/>
                <w:bCs/>
                <w:color w:val="000000"/>
                <w:lang w:val="es-CO"/>
              </w:rPr>
            </w:pPr>
            <w:r w:rsidRPr="003E17EC">
              <w:rPr>
                <w:rFonts w:ascii="Arial Narrow" w:eastAsia="Calibri" w:hAnsi="Arial Narrow"/>
                <w:bCs/>
                <w:color w:val="000000"/>
                <w:lang w:val="es-CO"/>
              </w:rPr>
              <w:t>A título de restablecimiento del derecho, se declare que el Consorcio SAYP 2011 no está obligado a reintegrarle a la ADRES la suma de dinero dispuesta en las resoluciones acusadas ni responder por los perjuicios que se deriven por las imágenes pérdidas de recobros y reclamaciones del FOSYGA.</w:t>
            </w:r>
          </w:p>
          <w:p w14:paraId="78191774" w14:textId="77777777" w:rsidR="003E17EC" w:rsidRPr="003E17EC" w:rsidRDefault="003E17EC" w:rsidP="003E17EC">
            <w:pPr>
              <w:pStyle w:val="Prrafodelista"/>
              <w:rPr>
                <w:rFonts w:ascii="Arial Narrow" w:eastAsia="Calibri" w:hAnsi="Arial Narrow"/>
                <w:bCs/>
                <w:color w:val="000000"/>
                <w:lang w:val="es-CO"/>
              </w:rPr>
            </w:pPr>
          </w:p>
          <w:p w14:paraId="109EF5D2" w14:textId="77777777" w:rsidR="003E17EC" w:rsidRPr="003E17EC" w:rsidRDefault="00315676" w:rsidP="003E17EC">
            <w:pPr>
              <w:pStyle w:val="Prrafodelista"/>
              <w:numPr>
                <w:ilvl w:val="1"/>
                <w:numId w:val="20"/>
              </w:numPr>
              <w:ind w:left="589" w:right="567"/>
              <w:jc w:val="both"/>
              <w:rPr>
                <w:rFonts w:ascii="Arial Narrow" w:eastAsia="Calibri" w:hAnsi="Arial Narrow"/>
                <w:bCs/>
                <w:color w:val="000000"/>
                <w:lang w:val="es-CO"/>
              </w:rPr>
            </w:pPr>
            <w:r w:rsidRPr="003E17EC">
              <w:rPr>
                <w:rFonts w:ascii="Arial Narrow" w:eastAsia="Calibri" w:hAnsi="Arial Narrow"/>
                <w:bCs/>
                <w:color w:val="000000"/>
                <w:lang w:val="es-CO"/>
              </w:rPr>
              <w:t xml:space="preserve">Se condene a la ADRES a indemnizar a la </w:t>
            </w:r>
            <w:r w:rsidRPr="003E17EC">
              <w:rPr>
                <w:rFonts w:ascii="Arial Narrow" w:hAnsi="Arial Narrow"/>
                <w:lang w:val="es-CO"/>
              </w:rPr>
              <w:t xml:space="preserve">FIDUPREVISORA S.A. y FIDUCOLDEX S.A (como miembros del </w:t>
            </w:r>
            <w:r w:rsidRPr="003E17EC">
              <w:rPr>
                <w:rFonts w:ascii="Arial Narrow" w:eastAsia="Calibri" w:hAnsi="Arial Narrow"/>
                <w:bCs/>
                <w:color w:val="000000"/>
                <w:lang w:val="es-CO"/>
              </w:rPr>
              <w:t>Consorcio SAYP 2011</w:t>
            </w:r>
            <w:r w:rsidRPr="003E17EC">
              <w:rPr>
                <w:rFonts w:ascii="Arial Narrow" w:hAnsi="Arial Narrow"/>
                <w:lang w:val="es-CO"/>
              </w:rPr>
              <w:t>) todos los daños que ellas hayan experimentado como consecuencia de la expedición y ejecución de los actos acusados.</w:t>
            </w:r>
          </w:p>
          <w:p w14:paraId="3D493F46" w14:textId="77777777" w:rsidR="003E17EC" w:rsidRPr="003E17EC" w:rsidRDefault="003E17EC" w:rsidP="003E17EC">
            <w:pPr>
              <w:pStyle w:val="Prrafodelista"/>
              <w:rPr>
                <w:rFonts w:ascii="Arial Narrow" w:eastAsia="Calibri" w:hAnsi="Arial Narrow"/>
                <w:bCs/>
                <w:color w:val="000000"/>
                <w:lang w:val="es-CO"/>
              </w:rPr>
            </w:pPr>
          </w:p>
          <w:p w14:paraId="23ED8A88" w14:textId="77777777" w:rsidR="00472B30" w:rsidRDefault="00315676" w:rsidP="00472B30">
            <w:pPr>
              <w:pStyle w:val="Prrafodelista"/>
              <w:numPr>
                <w:ilvl w:val="1"/>
                <w:numId w:val="20"/>
              </w:numPr>
              <w:ind w:left="589" w:right="567"/>
              <w:jc w:val="both"/>
              <w:rPr>
                <w:rFonts w:ascii="Arial Narrow" w:eastAsia="Calibri" w:hAnsi="Arial Narrow"/>
                <w:bCs/>
                <w:color w:val="000000"/>
                <w:lang w:val="es-CO"/>
              </w:rPr>
            </w:pPr>
            <w:r w:rsidRPr="003E17EC">
              <w:rPr>
                <w:rFonts w:ascii="Arial Narrow" w:eastAsia="Calibri" w:hAnsi="Arial Narrow"/>
                <w:bCs/>
                <w:color w:val="000000"/>
                <w:lang w:val="es-CO"/>
              </w:rPr>
              <w:t>Se ordene la liquidación judicial del contrato de encargo fiduciario nro. 467 de 2011.</w:t>
            </w:r>
          </w:p>
          <w:p w14:paraId="6AE8365B" w14:textId="77777777" w:rsidR="00472B30" w:rsidRPr="00472B30" w:rsidRDefault="00472B30" w:rsidP="00472B30">
            <w:pPr>
              <w:pStyle w:val="Prrafodelista"/>
              <w:rPr>
                <w:rFonts w:ascii="Arial Narrow" w:eastAsia="Calibri" w:hAnsi="Arial Narrow"/>
                <w:bCs/>
                <w:color w:val="000000"/>
                <w:lang w:val="es-CO"/>
              </w:rPr>
            </w:pPr>
          </w:p>
          <w:p w14:paraId="2BF0DB60" w14:textId="3C875B23" w:rsidR="00472B30" w:rsidRPr="00472B30" w:rsidRDefault="00472B30" w:rsidP="00472B30">
            <w:pPr>
              <w:pStyle w:val="Prrafodelista"/>
              <w:numPr>
                <w:ilvl w:val="1"/>
                <w:numId w:val="20"/>
              </w:numPr>
              <w:ind w:left="589" w:right="567"/>
              <w:jc w:val="both"/>
              <w:rPr>
                <w:rFonts w:ascii="Arial Narrow" w:eastAsia="Calibri" w:hAnsi="Arial Narrow"/>
                <w:bCs/>
                <w:color w:val="000000"/>
                <w:lang w:val="es-CO"/>
              </w:rPr>
            </w:pPr>
            <w:r w:rsidRPr="00472B30">
              <w:rPr>
                <w:rFonts w:ascii="Arial Narrow" w:eastAsia="Calibri" w:hAnsi="Arial Narrow"/>
                <w:bCs/>
                <w:color w:val="000000"/>
                <w:lang w:val="es-CO"/>
              </w:rPr>
              <w:t>Que se ordene la liquidación judicial del Contrato de Encargo Fiduciario No. 467</w:t>
            </w:r>
            <w:r>
              <w:rPr>
                <w:rFonts w:ascii="Arial Narrow" w:eastAsia="Calibri" w:hAnsi="Arial Narrow"/>
                <w:bCs/>
                <w:color w:val="000000"/>
                <w:lang w:val="es-CO"/>
              </w:rPr>
              <w:t xml:space="preserve"> </w:t>
            </w:r>
            <w:r w:rsidRPr="00472B30">
              <w:rPr>
                <w:rFonts w:ascii="Arial Narrow" w:eastAsia="Calibri" w:hAnsi="Arial Narrow"/>
                <w:bCs/>
                <w:color w:val="000000"/>
                <w:lang w:val="es-CO"/>
              </w:rPr>
              <w:t xml:space="preserve">de 2011, declarando a paz y a salvo </w:t>
            </w:r>
            <w:r>
              <w:rPr>
                <w:rFonts w:ascii="Arial Narrow" w:eastAsia="Calibri" w:hAnsi="Arial Narrow"/>
                <w:bCs/>
                <w:color w:val="000000"/>
                <w:lang w:val="es-CO"/>
              </w:rPr>
              <w:t xml:space="preserve">por todo concepto </w:t>
            </w:r>
            <w:r w:rsidRPr="00472B30">
              <w:rPr>
                <w:rFonts w:ascii="Arial Narrow" w:eastAsia="Calibri" w:hAnsi="Arial Narrow"/>
                <w:bCs/>
                <w:color w:val="000000"/>
                <w:lang w:val="es-CO"/>
              </w:rPr>
              <w:t xml:space="preserve">a </w:t>
            </w:r>
            <w:r>
              <w:rPr>
                <w:rFonts w:ascii="Arial Narrow" w:eastAsia="Calibri" w:hAnsi="Arial Narrow"/>
                <w:bCs/>
                <w:color w:val="000000"/>
                <w:lang w:val="es-CO"/>
              </w:rPr>
              <w:t xml:space="preserve">la </w:t>
            </w:r>
            <w:r w:rsidRPr="00472B30">
              <w:rPr>
                <w:rFonts w:ascii="Arial Narrow" w:eastAsia="Calibri" w:hAnsi="Arial Narrow"/>
                <w:bCs/>
                <w:color w:val="000000"/>
                <w:lang w:val="es-CO"/>
              </w:rPr>
              <w:t xml:space="preserve">FIDUPREVISORA S.A. y FIDUCOLDEX S.A., como </w:t>
            </w:r>
            <w:r>
              <w:rPr>
                <w:rFonts w:ascii="Arial Narrow" w:eastAsia="Calibri" w:hAnsi="Arial Narrow"/>
                <w:bCs/>
                <w:color w:val="000000"/>
                <w:lang w:val="es-CO"/>
              </w:rPr>
              <w:t xml:space="preserve">miembros </w:t>
            </w:r>
            <w:r w:rsidRPr="00472B30">
              <w:rPr>
                <w:rFonts w:ascii="Arial Narrow" w:eastAsia="Calibri" w:hAnsi="Arial Narrow"/>
                <w:bCs/>
                <w:color w:val="000000"/>
                <w:lang w:val="es-CO"/>
              </w:rPr>
              <w:t>del Consorcio SAYP 2011</w:t>
            </w:r>
            <w:r>
              <w:rPr>
                <w:rFonts w:ascii="Arial Narrow" w:eastAsia="Calibri" w:hAnsi="Arial Narrow"/>
                <w:bCs/>
                <w:color w:val="000000"/>
                <w:lang w:val="es-CO"/>
              </w:rPr>
              <w:t>.</w:t>
            </w:r>
          </w:p>
          <w:p w14:paraId="6FF927AA" w14:textId="77777777" w:rsidR="003E17EC" w:rsidRPr="003E17EC" w:rsidRDefault="003E17EC" w:rsidP="003E17EC">
            <w:pPr>
              <w:pStyle w:val="Prrafodelista"/>
              <w:rPr>
                <w:rFonts w:ascii="Arial Narrow" w:eastAsia="Calibri" w:hAnsi="Arial Narrow"/>
                <w:bCs/>
                <w:color w:val="000000"/>
                <w:lang w:val="es-CO"/>
              </w:rPr>
            </w:pPr>
          </w:p>
          <w:p w14:paraId="761FA0DC" w14:textId="6FAD78D6" w:rsidR="00315676" w:rsidRPr="003E17EC" w:rsidRDefault="00315676" w:rsidP="003E17EC">
            <w:pPr>
              <w:pStyle w:val="Prrafodelista"/>
              <w:numPr>
                <w:ilvl w:val="1"/>
                <w:numId w:val="20"/>
              </w:numPr>
              <w:ind w:left="589" w:right="567"/>
              <w:jc w:val="both"/>
              <w:rPr>
                <w:rFonts w:ascii="Arial Narrow" w:eastAsia="Calibri" w:hAnsi="Arial Narrow"/>
                <w:bCs/>
                <w:color w:val="000000"/>
                <w:lang w:val="es-CO"/>
              </w:rPr>
            </w:pPr>
            <w:r w:rsidRPr="003E17EC">
              <w:rPr>
                <w:rFonts w:ascii="Arial Narrow" w:eastAsia="Calibri" w:hAnsi="Arial Narrow"/>
                <w:bCs/>
                <w:color w:val="000000"/>
                <w:lang w:val="es-CO"/>
              </w:rPr>
              <w:t>Se condene en costas a la ADRES.</w:t>
            </w:r>
          </w:p>
          <w:p w14:paraId="7E71157D" w14:textId="0C3C52A3" w:rsidR="00532A4A" w:rsidRPr="007F2B6C" w:rsidRDefault="00532A4A" w:rsidP="0096478A">
            <w:pPr>
              <w:pStyle w:val="TableParagraph"/>
              <w:ind w:right="458"/>
              <w:jc w:val="both"/>
              <w:rPr>
                <w:rFonts w:ascii="Arial Narrow" w:eastAsia="Calibri" w:hAnsi="Arial Narrow"/>
                <w:bCs/>
                <w:color w:val="FF0000"/>
                <w:lang w:val="es-CO"/>
              </w:rPr>
            </w:pPr>
          </w:p>
          <w:p w14:paraId="1616B64C" w14:textId="45D1DC39" w:rsidR="009D509B" w:rsidRPr="007F2B6C" w:rsidRDefault="009D509B" w:rsidP="001E3F61">
            <w:pPr>
              <w:pStyle w:val="Prrafodelista"/>
              <w:numPr>
                <w:ilvl w:val="0"/>
                <w:numId w:val="2"/>
              </w:numPr>
              <w:ind w:left="836" w:right="567"/>
              <w:jc w:val="both"/>
              <w:rPr>
                <w:rFonts w:ascii="Arial Narrow" w:eastAsia="Calibri" w:hAnsi="Arial Narrow"/>
                <w:b/>
                <w:color w:val="000000" w:themeColor="text1"/>
                <w:lang w:val="es-CO"/>
              </w:rPr>
            </w:pPr>
            <w:r w:rsidRPr="007F2B6C">
              <w:rPr>
                <w:rFonts w:ascii="Arial Narrow" w:eastAsia="Calibri" w:hAnsi="Arial Narrow"/>
                <w:b/>
                <w:color w:val="000000" w:themeColor="text1"/>
                <w:lang w:val="es-CO"/>
              </w:rPr>
              <w:t>Soporte probatorio</w:t>
            </w:r>
          </w:p>
          <w:p w14:paraId="005C2F65" w14:textId="77777777" w:rsidR="009D509B" w:rsidRPr="007F2B6C" w:rsidRDefault="009D509B" w:rsidP="007F2B6C">
            <w:pPr>
              <w:pStyle w:val="TableParagraph"/>
              <w:tabs>
                <w:tab w:val="left" w:pos="584"/>
              </w:tabs>
              <w:ind w:left="567"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 xml:space="preserve"> </w:t>
            </w:r>
          </w:p>
          <w:p w14:paraId="1ED057D0" w14:textId="77777777" w:rsidR="00216953" w:rsidRDefault="009D509B" w:rsidP="00216953">
            <w:pPr>
              <w:pStyle w:val="TableParagraph"/>
              <w:tabs>
                <w:tab w:val="left" w:pos="584"/>
              </w:tabs>
              <w:ind w:left="476" w:right="567"/>
              <w:jc w:val="both"/>
              <w:rPr>
                <w:rFonts w:ascii="Arial Narrow" w:eastAsia="Calibri" w:hAnsi="Arial Narrow"/>
                <w:b/>
                <w:bCs/>
                <w:color w:val="000000" w:themeColor="text1"/>
                <w:u w:val="single"/>
                <w:lang w:val="es-CO"/>
              </w:rPr>
            </w:pPr>
            <w:r w:rsidRPr="007F2B6C">
              <w:rPr>
                <w:rFonts w:ascii="Arial Narrow" w:eastAsia="Calibri" w:hAnsi="Arial Narrow"/>
                <w:b/>
                <w:bCs/>
                <w:color w:val="000000" w:themeColor="text1"/>
                <w:u w:val="single"/>
                <w:lang w:val="es-CO"/>
              </w:rPr>
              <w:t xml:space="preserve">Parte </w:t>
            </w:r>
            <w:r w:rsidR="004C7792" w:rsidRPr="007F2B6C">
              <w:rPr>
                <w:rFonts w:ascii="Arial Narrow" w:eastAsia="Calibri" w:hAnsi="Arial Narrow"/>
                <w:b/>
                <w:bCs/>
                <w:color w:val="000000" w:themeColor="text1"/>
                <w:u w:val="single"/>
                <w:lang w:val="es-CO"/>
              </w:rPr>
              <w:t>demandante</w:t>
            </w:r>
            <w:r w:rsidRPr="007F2B6C">
              <w:rPr>
                <w:rFonts w:ascii="Arial Narrow" w:eastAsia="Calibri" w:hAnsi="Arial Narrow"/>
                <w:b/>
                <w:bCs/>
                <w:color w:val="000000" w:themeColor="text1"/>
                <w:u w:val="single"/>
                <w:lang w:val="es-CO"/>
              </w:rPr>
              <w:t>:</w:t>
            </w:r>
          </w:p>
          <w:p w14:paraId="25505E79" w14:textId="77777777" w:rsidR="00216953" w:rsidRDefault="00216953" w:rsidP="00216953">
            <w:pPr>
              <w:pStyle w:val="TableParagraph"/>
              <w:tabs>
                <w:tab w:val="left" w:pos="584"/>
              </w:tabs>
              <w:ind w:left="476" w:right="567"/>
              <w:jc w:val="both"/>
              <w:rPr>
                <w:rFonts w:ascii="Arial Narrow" w:eastAsia="Calibri" w:hAnsi="Arial Narrow"/>
                <w:b/>
                <w:bCs/>
                <w:color w:val="000000" w:themeColor="text1"/>
                <w:u w:val="single"/>
                <w:lang w:val="es-CO"/>
              </w:rPr>
            </w:pPr>
          </w:p>
          <w:p w14:paraId="4E5A2CE1" w14:textId="01B14D4B" w:rsidR="00216953" w:rsidRPr="00216953" w:rsidRDefault="00216953" w:rsidP="00216953">
            <w:pPr>
              <w:pStyle w:val="TableParagraph"/>
              <w:tabs>
                <w:tab w:val="left" w:pos="584"/>
              </w:tabs>
              <w:ind w:left="476" w:right="567"/>
              <w:jc w:val="both"/>
              <w:rPr>
                <w:rFonts w:ascii="Arial Narrow" w:eastAsia="Calibri" w:hAnsi="Arial Narrow"/>
                <w:b/>
                <w:bCs/>
                <w:color w:val="000000" w:themeColor="text1"/>
                <w:lang w:val="es-CO"/>
              </w:rPr>
            </w:pPr>
            <w:r w:rsidRPr="00216953">
              <w:rPr>
                <w:rFonts w:ascii="Arial Narrow" w:eastAsia="Calibri" w:hAnsi="Arial Narrow"/>
                <w:b/>
                <w:bCs/>
                <w:color w:val="000000" w:themeColor="text1"/>
                <w:lang w:val="es-CO"/>
              </w:rPr>
              <w:t>Documentales</w:t>
            </w:r>
          </w:p>
          <w:p w14:paraId="6AECE084" w14:textId="77777777" w:rsidR="00216953" w:rsidRDefault="00216953" w:rsidP="00216953">
            <w:pPr>
              <w:pStyle w:val="TableParagraph"/>
              <w:tabs>
                <w:tab w:val="left" w:pos="584"/>
              </w:tabs>
              <w:ind w:left="476" w:right="567"/>
              <w:jc w:val="both"/>
              <w:rPr>
                <w:rFonts w:ascii="Arial Narrow" w:eastAsia="Calibri" w:hAnsi="Arial Narrow"/>
                <w:b/>
                <w:bCs/>
                <w:color w:val="000000" w:themeColor="text1"/>
                <w:u w:val="single"/>
                <w:lang w:val="es-CO"/>
              </w:rPr>
            </w:pPr>
          </w:p>
          <w:p w14:paraId="49D1FB72"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del acuerdo consorcial celebrado el 19 de agosto de 2011 entre Fiduprevisora S.A.</w:t>
            </w:r>
            <w:r>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y Fiduciaria Colombiana de Comercio Exterior – Fiducoldex S.A., mediante el cual se</w:t>
            </w:r>
            <w:r>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conforma el Consorcio SAYP 2011.</w:t>
            </w:r>
          </w:p>
          <w:p w14:paraId="64E22CF2"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del Contrato de Encargo Fiduciario No. 467 de 2011 celebrado el 23 de septiembre</w:t>
            </w:r>
            <w:r w:rsidRPr="00216953">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de 2011 entre el</w:t>
            </w:r>
            <w:r w:rsidRPr="00216953">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Ministerio de Salud y Protección y el Consorcio SAYP.</w:t>
            </w:r>
          </w:p>
          <w:p w14:paraId="4595C4A0"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 la Adición No.1 y Modificación No. 1 al Contrato de Encargo Fiduciario No. 467</w:t>
            </w:r>
            <w:r w:rsidRPr="00216953">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de 2011 de fecha 5 de agosto de 2015.</w:t>
            </w:r>
          </w:p>
          <w:p w14:paraId="0FA8FE21"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 la Prórroga No. 1, Adición No. 2 y Modificación No. 2 al Contrato de Encargo</w:t>
            </w:r>
            <w:r w:rsidRPr="00216953">
              <w:rPr>
                <w:rFonts w:ascii="Arial Narrow" w:eastAsia="Calibri" w:hAnsi="Arial Narrow"/>
                <w:color w:val="000000" w:themeColor="text1"/>
                <w:lang w:val="es-CO"/>
              </w:rPr>
              <w:t xml:space="preserve"> </w:t>
            </w:r>
            <w:r w:rsidRPr="001D41A1">
              <w:rPr>
                <w:rFonts w:ascii="Arial Narrow" w:eastAsia="Calibri" w:hAnsi="Arial Narrow"/>
                <w:color w:val="000000" w:themeColor="text1"/>
                <w:lang w:val="es-CO"/>
              </w:rPr>
              <w:t>Fiduciario No. 467 de 2011 de fecha 26 de agosto de 2016.</w:t>
            </w:r>
          </w:p>
          <w:p w14:paraId="5C0666E2"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 la Prórroga No. 2, Adición No. 3 y Modificación No. 3 al Contrato de Encargo</w:t>
            </w:r>
            <w:r w:rsidR="00216953" w:rsidRPr="00216953">
              <w:rPr>
                <w:rFonts w:ascii="Arial Narrow" w:eastAsia="Calibri" w:hAnsi="Arial Narrow"/>
                <w:b/>
                <w:bCs/>
                <w:color w:val="000000" w:themeColor="text1"/>
                <w:lang w:val="es-CO"/>
              </w:rPr>
              <w:t xml:space="preserve"> </w:t>
            </w:r>
            <w:r w:rsidRPr="001D41A1">
              <w:rPr>
                <w:rFonts w:ascii="Arial Narrow" w:eastAsia="Calibri" w:hAnsi="Arial Narrow"/>
                <w:color w:val="000000" w:themeColor="text1"/>
                <w:lang w:val="es-CO"/>
              </w:rPr>
              <w:t>Fiduciario No. 467 de 2011 de fecha 31 de marzo de 2017.</w:t>
            </w:r>
          </w:p>
          <w:p w14:paraId="2C6F6C0E"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Oficio radicado 269667 del 17 de junio de 2019 de la ADRES.</w:t>
            </w:r>
          </w:p>
          <w:p w14:paraId="420825B8"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Oficio DOP-020-19 del 20 de noviembre de 2019 con radicado número 352678 del</w:t>
            </w:r>
            <w:r w:rsidR="00216953">
              <w:rPr>
                <w:rFonts w:ascii="Arial Narrow" w:eastAsia="Calibri" w:hAnsi="Arial Narrow"/>
                <w:b/>
                <w:bCs/>
                <w:color w:val="000000" w:themeColor="text1"/>
                <w:u w:val="single"/>
                <w:lang w:val="es-CO"/>
              </w:rPr>
              <w:t xml:space="preserve"> </w:t>
            </w:r>
            <w:r w:rsidRPr="001D41A1">
              <w:rPr>
                <w:rFonts w:ascii="Arial Narrow" w:eastAsia="Calibri" w:hAnsi="Arial Narrow"/>
                <w:color w:val="000000" w:themeColor="text1"/>
                <w:lang w:val="es-CO"/>
              </w:rPr>
              <w:t>Consorcio SAYP 2011.</w:t>
            </w:r>
          </w:p>
          <w:p w14:paraId="60720AFF"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Versión final del Informe de Interventoría denominado BALANCE FINAL CTO 467 VF-</w:t>
            </w:r>
            <w:r w:rsidR="00216953">
              <w:rPr>
                <w:rFonts w:ascii="Arial Narrow" w:eastAsia="Calibri" w:hAnsi="Arial Narrow"/>
                <w:b/>
                <w:bCs/>
                <w:color w:val="000000" w:themeColor="text1"/>
                <w:u w:val="single"/>
                <w:lang w:val="es-CO"/>
              </w:rPr>
              <w:t xml:space="preserve"> </w:t>
            </w:r>
            <w:r w:rsidRPr="001D41A1">
              <w:rPr>
                <w:rFonts w:ascii="Arial Narrow" w:eastAsia="Calibri" w:hAnsi="Arial Narrow"/>
                <w:color w:val="000000" w:themeColor="text1"/>
                <w:lang w:val="es-CO"/>
              </w:rPr>
              <w:t>2020.</w:t>
            </w:r>
          </w:p>
          <w:p w14:paraId="3F93025B"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1D41A1">
              <w:rPr>
                <w:rFonts w:ascii="Arial Narrow" w:eastAsia="Calibri" w:hAnsi="Arial Narrow"/>
                <w:color w:val="000000" w:themeColor="text1"/>
                <w:lang w:val="es-CO"/>
              </w:rPr>
              <w:t>Copia de la Resolución 544 de 2021 proferida por la ADRES.</w:t>
            </w:r>
          </w:p>
          <w:p w14:paraId="4EF81B3E" w14:textId="77777777" w:rsidR="00216953" w:rsidRDefault="001D41A1"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216953">
              <w:rPr>
                <w:rFonts w:ascii="Arial Narrow" w:eastAsia="Calibri" w:hAnsi="Arial Narrow"/>
                <w:color w:val="000000" w:themeColor="text1"/>
                <w:lang w:val="es-CO"/>
              </w:rPr>
              <w:t>Constancia de notificación de la Resolución 544 de 2021 proferida por la ADRES.</w:t>
            </w:r>
          </w:p>
          <w:p w14:paraId="61734B88" w14:textId="77777777" w:rsidR="00216953" w:rsidRDefault="003122B9" w:rsidP="00216953">
            <w:pPr>
              <w:pStyle w:val="TableParagraph"/>
              <w:numPr>
                <w:ilvl w:val="0"/>
                <w:numId w:val="22"/>
              </w:numPr>
              <w:tabs>
                <w:tab w:val="left" w:pos="584"/>
              </w:tabs>
              <w:ind w:left="589" w:right="567"/>
              <w:jc w:val="both"/>
              <w:rPr>
                <w:rFonts w:ascii="Arial Narrow" w:eastAsia="Calibri" w:hAnsi="Arial Narrow"/>
                <w:b/>
                <w:bCs/>
                <w:color w:val="000000" w:themeColor="text1"/>
                <w:u w:val="single"/>
                <w:lang w:val="es-CO"/>
              </w:rPr>
            </w:pPr>
            <w:r w:rsidRPr="003122B9">
              <w:rPr>
                <w:rFonts w:ascii="Arial Narrow" w:hAnsi="Arial Narrow"/>
                <w:lang w:val="es-CO"/>
              </w:rPr>
              <w:t>Copia del recurso de reposición interpuesto por mis representadas contra la Resolución</w:t>
            </w:r>
            <w:r w:rsidR="00216953">
              <w:rPr>
                <w:rFonts w:ascii="Arial Narrow" w:eastAsia="Calibri" w:hAnsi="Arial Narrow"/>
                <w:b/>
                <w:bCs/>
                <w:color w:val="000000" w:themeColor="text1"/>
                <w:u w:val="single"/>
                <w:lang w:val="es-CO"/>
              </w:rPr>
              <w:t xml:space="preserve"> </w:t>
            </w:r>
            <w:r w:rsidRPr="003122B9">
              <w:rPr>
                <w:rFonts w:ascii="Arial Narrow" w:hAnsi="Arial Narrow"/>
                <w:lang w:val="es-CO"/>
              </w:rPr>
              <w:t>544 de 2021 proferida por la</w:t>
            </w:r>
            <w:r w:rsidR="00216953">
              <w:rPr>
                <w:rFonts w:ascii="Arial Narrow" w:hAnsi="Arial Narrow"/>
                <w:lang w:val="es-CO"/>
              </w:rPr>
              <w:t xml:space="preserve"> </w:t>
            </w:r>
            <w:r w:rsidRPr="003122B9">
              <w:rPr>
                <w:rFonts w:ascii="Arial Narrow" w:hAnsi="Arial Narrow"/>
                <w:lang w:val="es-CO"/>
              </w:rPr>
              <w:t>ADRES.</w:t>
            </w:r>
          </w:p>
          <w:p w14:paraId="34F614D3" w14:textId="77777777" w:rsidR="00216953" w:rsidRPr="00216953" w:rsidRDefault="003122B9" w:rsidP="00216953">
            <w:pPr>
              <w:pStyle w:val="TableParagraph"/>
              <w:numPr>
                <w:ilvl w:val="0"/>
                <w:numId w:val="22"/>
              </w:numPr>
              <w:tabs>
                <w:tab w:val="left" w:pos="584"/>
              </w:tabs>
              <w:ind w:left="589" w:right="567"/>
              <w:jc w:val="both"/>
              <w:rPr>
                <w:rFonts w:ascii="Arial Narrow" w:eastAsia="Calibri" w:hAnsi="Arial Narrow"/>
                <w:color w:val="000000" w:themeColor="text1"/>
                <w:u w:val="single"/>
                <w:lang w:val="es-CO"/>
              </w:rPr>
            </w:pPr>
            <w:r w:rsidRPr="003122B9">
              <w:rPr>
                <w:rFonts w:ascii="Arial Narrow" w:hAnsi="Arial Narrow"/>
                <w:lang w:val="es-CO"/>
              </w:rPr>
              <w:t>Copia de la Resolución 609 de 2021 proferida también por la ADRES.</w:t>
            </w:r>
          </w:p>
          <w:p w14:paraId="4F6AD26F" w14:textId="77777777" w:rsidR="00216953" w:rsidRPr="00216953" w:rsidRDefault="003122B9" w:rsidP="00216953">
            <w:pPr>
              <w:pStyle w:val="TableParagraph"/>
              <w:numPr>
                <w:ilvl w:val="0"/>
                <w:numId w:val="22"/>
              </w:numPr>
              <w:tabs>
                <w:tab w:val="left" w:pos="584"/>
              </w:tabs>
              <w:ind w:left="589" w:right="567"/>
              <w:jc w:val="both"/>
              <w:rPr>
                <w:rFonts w:ascii="Arial Narrow" w:eastAsia="Calibri" w:hAnsi="Arial Narrow"/>
                <w:color w:val="000000" w:themeColor="text1"/>
                <w:u w:val="single"/>
                <w:lang w:val="es-CO"/>
              </w:rPr>
            </w:pPr>
            <w:r w:rsidRPr="003122B9">
              <w:rPr>
                <w:rFonts w:ascii="Arial Narrow" w:hAnsi="Arial Narrow"/>
                <w:lang w:val="es-CO"/>
              </w:rPr>
              <w:t>Constancia de notificación de la Resolución 609 de 2021 proferida por la ADRES.</w:t>
            </w:r>
          </w:p>
          <w:p w14:paraId="6E90C55D" w14:textId="77777777" w:rsidR="00216953" w:rsidRPr="00216953" w:rsidRDefault="003122B9" w:rsidP="00216953">
            <w:pPr>
              <w:pStyle w:val="TableParagraph"/>
              <w:numPr>
                <w:ilvl w:val="0"/>
                <w:numId w:val="22"/>
              </w:numPr>
              <w:tabs>
                <w:tab w:val="left" w:pos="584"/>
              </w:tabs>
              <w:ind w:left="589" w:right="567"/>
              <w:jc w:val="both"/>
              <w:rPr>
                <w:rFonts w:ascii="Arial Narrow" w:eastAsia="Calibri" w:hAnsi="Arial Narrow"/>
                <w:color w:val="000000" w:themeColor="text1"/>
                <w:lang w:val="es-CO"/>
              </w:rPr>
            </w:pPr>
            <w:r w:rsidRPr="003122B9">
              <w:rPr>
                <w:rFonts w:ascii="Arial Narrow" w:hAnsi="Arial Narrow"/>
                <w:lang w:val="es-CO"/>
              </w:rPr>
              <w:t>Copia de las notas remitidas por el Consorcio SAYP 2011 al Ministerio de Salud y</w:t>
            </w:r>
            <w:r w:rsidR="00216953" w:rsidRPr="00216953">
              <w:rPr>
                <w:rFonts w:ascii="Arial Narrow" w:eastAsia="Calibri" w:hAnsi="Arial Narrow"/>
                <w:color w:val="000000" w:themeColor="text1"/>
                <w:u w:val="single"/>
                <w:lang w:val="es-CO"/>
              </w:rPr>
              <w:t xml:space="preserve"> </w:t>
            </w:r>
            <w:r w:rsidRPr="003122B9">
              <w:rPr>
                <w:rFonts w:ascii="Arial Narrow" w:hAnsi="Arial Narrow"/>
                <w:lang w:val="es-CO"/>
              </w:rPr>
              <w:t>Protección Social en las que aquél se refirió a la introducción e imposición de la</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metodología.</w:t>
            </w:r>
          </w:p>
          <w:p w14:paraId="36553EF1" w14:textId="77777777" w:rsidR="00216953" w:rsidRPr="00216953" w:rsidRDefault="003122B9" w:rsidP="00216953">
            <w:pPr>
              <w:pStyle w:val="TableParagraph"/>
              <w:numPr>
                <w:ilvl w:val="0"/>
                <w:numId w:val="22"/>
              </w:numPr>
              <w:tabs>
                <w:tab w:val="left" w:pos="584"/>
              </w:tabs>
              <w:ind w:left="589" w:right="567"/>
              <w:jc w:val="both"/>
              <w:rPr>
                <w:rFonts w:ascii="Arial Narrow" w:eastAsia="Calibri" w:hAnsi="Arial Narrow"/>
                <w:color w:val="000000" w:themeColor="text1"/>
                <w:lang w:val="es-CO"/>
              </w:rPr>
            </w:pPr>
            <w:r w:rsidRPr="003122B9">
              <w:rPr>
                <w:rFonts w:ascii="Arial Narrow" w:hAnsi="Arial Narrow"/>
                <w:lang w:val="es-CO"/>
              </w:rPr>
              <w:t>Copia de los documentos que dan cuenta de la improcedencia de haberle impuesto al</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Consorcio SAYP 2011 la obligación de restituir valores por concepto de embargos mal</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gestionados.</w:t>
            </w:r>
          </w:p>
          <w:p w14:paraId="4363D8CA" w14:textId="77777777" w:rsidR="00216953" w:rsidRPr="00216953" w:rsidRDefault="003122B9" w:rsidP="00216953">
            <w:pPr>
              <w:pStyle w:val="TableParagraph"/>
              <w:numPr>
                <w:ilvl w:val="0"/>
                <w:numId w:val="22"/>
              </w:numPr>
              <w:tabs>
                <w:tab w:val="left" w:pos="584"/>
              </w:tabs>
              <w:ind w:left="589" w:right="567"/>
              <w:jc w:val="both"/>
              <w:rPr>
                <w:rFonts w:ascii="Arial Narrow" w:eastAsia="Calibri" w:hAnsi="Arial Narrow"/>
                <w:color w:val="000000" w:themeColor="text1"/>
                <w:lang w:val="es-CO"/>
              </w:rPr>
            </w:pPr>
            <w:r w:rsidRPr="003122B9">
              <w:rPr>
                <w:rFonts w:ascii="Arial Narrow" w:hAnsi="Arial Narrow"/>
                <w:lang w:val="es-CO"/>
              </w:rPr>
              <w:t>Copia de los documentos que dan cuenta de la improcedencia de haberle impuesto al</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Consorcio SAYP 2011 la obligación de restituir valores por concepto de procesos de</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repetición.</w:t>
            </w:r>
          </w:p>
          <w:p w14:paraId="02976C9A" w14:textId="77777777" w:rsidR="00216953" w:rsidRPr="00216953" w:rsidRDefault="003122B9" w:rsidP="00216953">
            <w:pPr>
              <w:pStyle w:val="TableParagraph"/>
              <w:numPr>
                <w:ilvl w:val="0"/>
                <w:numId w:val="22"/>
              </w:numPr>
              <w:tabs>
                <w:tab w:val="left" w:pos="584"/>
              </w:tabs>
              <w:ind w:left="589" w:right="567"/>
              <w:jc w:val="both"/>
              <w:rPr>
                <w:rFonts w:ascii="Arial Narrow" w:hAnsi="Arial Narrow"/>
                <w:lang w:val="es-CO"/>
              </w:rPr>
            </w:pPr>
            <w:r w:rsidRPr="003122B9">
              <w:rPr>
                <w:rFonts w:ascii="Arial Narrow" w:hAnsi="Arial Narrow"/>
                <w:lang w:val="es-CO"/>
              </w:rPr>
              <w:t>Copia de los documentos que dan cuenta de la improcedencia de haberle impuesto al</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Consorcio SAYP 2011 la obligación de restituir valores por concepto de cheques</w:t>
            </w:r>
            <w:r w:rsidR="00216953" w:rsidRPr="00216953">
              <w:rPr>
                <w:rFonts w:ascii="Arial Narrow" w:eastAsia="Calibri" w:hAnsi="Arial Narrow"/>
                <w:color w:val="000000" w:themeColor="text1"/>
                <w:lang w:val="es-CO"/>
              </w:rPr>
              <w:t xml:space="preserve"> </w:t>
            </w:r>
            <w:r w:rsidRPr="003122B9">
              <w:rPr>
                <w:rFonts w:ascii="Arial Narrow" w:hAnsi="Arial Narrow"/>
                <w:lang w:val="es-CO"/>
              </w:rPr>
              <w:t>devueltos de Solsalud.</w:t>
            </w:r>
          </w:p>
          <w:p w14:paraId="2DE45C4F" w14:textId="77777777" w:rsidR="00216953" w:rsidRPr="00216953" w:rsidRDefault="00216953" w:rsidP="00216953">
            <w:pPr>
              <w:pStyle w:val="TableParagraph"/>
              <w:tabs>
                <w:tab w:val="left" w:pos="584"/>
              </w:tabs>
              <w:ind w:left="589" w:right="567"/>
              <w:jc w:val="both"/>
              <w:rPr>
                <w:rFonts w:ascii="Arial Narrow" w:hAnsi="Arial Narrow"/>
                <w:lang w:val="es-CO"/>
              </w:rPr>
            </w:pPr>
          </w:p>
          <w:p w14:paraId="0CD4817D" w14:textId="77777777" w:rsidR="004C2F1B" w:rsidRDefault="00216953" w:rsidP="004C2F1B">
            <w:pPr>
              <w:pStyle w:val="TableParagraph"/>
              <w:tabs>
                <w:tab w:val="left" w:pos="584"/>
              </w:tabs>
              <w:ind w:left="589" w:right="567"/>
              <w:jc w:val="both"/>
              <w:rPr>
                <w:rFonts w:ascii="Arial Narrow" w:hAnsi="Arial Narrow"/>
                <w:b/>
                <w:bCs/>
                <w:lang w:val="es-CO"/>
              </w:rPr>
            </w:pPr>
            <w:r w:rsidRPr="00216953">
              <w:rPr>
                <w:rFonts w:ascii="Arial Narrow" w:hAnsi="Arial Narrow"/>
                <w:b/>
                <w:bCs/>
                <w:lang w:val="es-CO"/>
              </w:rPr>
              <w:t>Testimonios:</w:t>
            </w:r>
          </w:p>
          <w:p w14:paraId="1B0AA473" w14:textId="77777777" w:rsidR="004C2F1B" w:rsidRDefault="004C2F1B" w:rsidP="004C2F1B">
            <w:pPr>
              <w:pStyle w:val="TableParagraph"/>
              <w:tabs>
                <w:tab w:val="left" w:pos="584"/>
              </w:tabs>
              <w:ind w:left="589" w:right="567"/>
              <w:jc w:val="both"/>
              <w:rPr>
                <w:rFonts w:ascii="Arial Narrow" w:hAnsi="Arial Narrow"/>
                <w:lang w:val="es-CO"/>
              </w:rPr>
            </w:pPr>
          </w:p>
          <w:p w14:paraId="1A468DD9" w14:textId="12DF4945" w:rsidR="00216953" w:rsidRDefault="003122B9" w:rsidP="004C2F1B">
            <w:pPr>
              <w:pStyle w:val="TableParagraph"/>
              <w:tabs>
                <w:tab w:val="left" w:pos="584"/>
              </w:tabs>
              <w:ind w:left="589" w:right="567"/>
              <w:jc w:val="both"/>
              <w:rPr>
                <w:rFonts w:ascii="Arial Narrow" w:hAnsi="Arial Narrow"/>
                <w:lang w:val="es-CO"/>
              </w:rPr>
            </w:pPr>
            <w:r w:rsidRPr="003122B9">
              <w:rPr>
                <w:rFonts w:ascii="Arial Narrow" w:hAnsi="Arial Narrow"/>
                <w:lang w:val="es-CO"/>
              </w:rPr>
              <w:t>Solicit</w:t>
            </w:r>
            <w:r w:rsidR="00216953" w:rsidRPr="00216953">
              <w:rPr>
                <w:rFonts w:ascii="Arial Narrow" w:hAnsi="Arial Narrow"/>
                <w:lang w:val="es-CO"/>
              </w:rPr>
              <w:t xml:space="preserve">a la demandante </w:t>
            </w:r>
            <w:r w:rsidRPr="003122B9">
              <w:rPr>
                <w:rFonts w:ascii="Arial Narrow" w:hAnsi="Arial Narrow"/>
                <w:lang w:val="es-CO"/>
              </w:rPr>
              <w:t>que se llame a rendir testimonio a las personas que se indican a continuación</w:t>
            </w:r>
            <w:r w:rsidR="004C2F1B">
              <w:rPr>
                <w:rFonts w:ascii="Arial Narrow" w:hAnsi="Arial Narrow"/>
                <w:lang w:val="es-CO"/>
              </w:rPr>
              <w:t>.</w:t>
            </w:r>
          </w:p>
          <w:p w14:paraId="67F3E684" w14:textId="77777777" w:rsidR="004C2F1B" w:rsidRPr="004C2F1B" w:rsidRDefault="004C2F1B" w:rsidP="004C2F1B">
            <w:pPr>
              <w:pStyle w:val="TableParagraph"/>
              <w:tabs>
                <w:tab w:val="left" w:pos="584"/>
              </w:tabs>
              <w:ind w:left="589" w:right="567"/>
              <w:jc w:val="both"/>
              <w:rPr>
                <w:rFonts w:ascii="Arial Narrow" w:hAnsi="Arial Narrow"/>
                <w:b/>
                <w:bCs/>
                <w:lang w:val="es-CO"/>
              </w:rPr>
            </w:pPr>
          </w:p>
          <w:p w14:paraId="2592F6E2" w14:textId="77777777" w:rsidR="004C2F1B" w:rsidRDefault="003122B9" w:rsidP="004C2F1B">
            <w:pPr>
              <w:pStyle w:val="TableParagraph"/>
              <w:numPr>
                <w:ilvl w:val="0"/>
                <w:numId w:val="22"/>
              </w:numPr>
              <w:tabs>
                <w:tab w:val="left" w:pos="584"/>
              </w:tabs>
              <w:ind w:right="567" w:hanging="530"/>
              <w:jc w:val="both"/>
              <w:rPr>
                <w:rFonts w:ascii="Arial Narrow" w:hAnsi="Arial Narrow"/>
                <w:lang w:val="es-CO"/>
              </w:rPr>
            </w:pPr>
            <w:r w:rsidRPr="003122B9">
              <w:rPr>
                <w:rFonts w:ascii="Arial Narrow" w:hAnsi="Arial Narrow"/>
                <w:lang w:val="es-CO"/>
              </w:rPr>
              <w:t>César Reyes Castelblanco, quien fuera el Gerente General del Consorcio SAYP 2011</w:t>
            </w:r>
            <w:r w:rsidR="00216953" w:rsidRPr="00216953">
              <w:rPr>
                <w:rFonts w:ascii="Arial Narrow" w:hAnsi="Arial Narrow"/>
                <w:lang w:val="es-CO"/>
              </w:rPr>
              <w:t xml:space="preserve">. </w:t>
            </w:r>
          </w:p>
          <w:p w14:paraId="1909A88A" w14:textId="77777777" w:rsidR="004C2F1B" w:rsidRDefault="00216953" w:rsidP="004C2F1B">
            <w:pPr>
              <w:pStyle w:val="TableParagraph"/>
              <w:numPr>
                <w:ilvl w:val="0"/>
                <w:numId w:val="22"/>
              </w:numPr>
              <w:tabs>
                <w:tab w:val="left" w:pos="584"/>
              </w:tabs>
              <w:ind w:right="567" w:hanging="530"/>
              <w:jc w:val="both"/>
              <w:rPr>
                <w:rFonts w:ascii="Arial Narrow" w:hAnsi="Arial Narrow"/>
                <w:lang w:val="es-CO"/>
              </w:rPr>
            </w:pPr>
            <w:r w:rsidRPr="004C2F1B">
              <w:rPr>
                <w:rFonts w:ascii="Arial Narrow" w:hAnsi="Arial Narrow"/>
                <w:lang w:val="es-CO"/>
              </w:rPr>
              <w:lastRenderedPageBreak/>
              <w:t>Álvaro</w:t>
            </w:r>
            <w:r w:rsidR="003122B9" w:rsidRPr="003122B9">
              <w:rPr>
                <w:rFonts w:ascii="Arial Narrow" w:hAnsi="Arial Narrow"/>
                <w:lang w:val="es-CO"/>
              </w:rPr>
              <w:t xml:space="preserve"> Ayala Aristizábal, quien fuera el Asesor Jurídico del Consorcio SAYP 2011 </w:t>
            </w:r>
          </w:p>
          <w:p w14:paraId="5ADF96B2" w14:textId="27E1B5D6" w:rsidR="00216953" w:rsidRPr="004C2F1B" w:rsidRDefault="003122B9" w:rsidP="004C2F1B">
            <w:pPr>
              <w:pStyle w:val="TableParagraph"/>
              <w:numPr>
                <w:ilvl w:val="0"/>
                <w:numId w:val="22"/>
              </w:numPr>
              <w:tabs>
                <w:tab w:val="left" w:pos="584"/>
              </w:tabs>
              <w:ind w:right="567" w:hanging="530"/>
              <w:jc w:val="both"/>
              <w:rPr>
                <w:rFonts w:ascii="Arial Narrow" w:hAnsi="Arial Narrow"/>
                <w:lang w:val="es-CO"/>
              </w:rPr>
            </w:pPr>
            <w:r w:rsidRPr="003122B9">
              <w:rPr>
                <w:rFonts w:ascii="Arial Narrow" w:hAnsi="Arial Narrow"/>
                <w:lang w:val="es-CO"/>
              </w:rPr>
              <w:t>Francisco Andrés Sanabria Valdés, quien fuera Gerente de Liquidaciones y</w:t>
            </w:r>
            <w:r w:rsidR="00216953" w:rsidRPr="004C2F1B">
              <w:rPr>
                <w:rFonts w:ascii="Arial Narrow" w:hAnsi="Arial Narrow"/>
                <w:lang w:val="es-CO"/>
              </w:rPr>
              <w:t xml:space="preserve"> </w:t>
            </w:r>
            <w:r w:rsidRPr="003122B9">
              <w:rPr>
                <w:rFonts w:ascii="Arial Narrow" w:hAnsi="Arial Narrow"/>
                <w:lang w:val="es-CO"/>
              </w:rPr>
              <w:t>Remanentes de</w:t>
            </w:r>
            <w:r w:rsidR="00216953" w:rsidRPr="004C2F1B">
              <w:rPr>
                <w:rFonts w:ascii="Arial Narrow" w:hAnsi="Arial Narrow"/>
                <w:lang w:val="es-CO"/>
              </w:rPr>
              <w:t xml:space="preserve"> la</w:t>
            </w:r>
            <w:r w:rsidRPr="003122B9">
              <w:rPr>
                <w:rFonts w:ascii="Arial Narrow" w:hAnsi="Arial Narrow"/>
                <w:lang w:val="es-CO"/>
              </w:rPr>
              <w:t xml:space="preserve"> Fiduprevisora</w:t>
            </w:r>
            <w:r w:rsidR="00216953" w:rsidRPr="004C2F1B">
              <w:rPr>
                <w:rFonts w:ascii="Arial Narrow" w:hAnsi="Arial Narrow"/>
                <w:lang w:val="es-CO"/>
              </w:rPr>
              <w:t>.</w:t>
            </w:r>
          </w:p>
          <w:p w14:paraId="20DA58B3" w14:textId="77777777" w:rsidR="004C2F1B" w:rsidRDefault="004C2F1B" w:rsidP="004C2F1B">
            <w:pPr>
              <w:pStyle w:val="TableParagraph"/>
              <w:tabs>
                <w:tab w:val="left" w:pos="584"/>
              </w:tabs>
              <w:ind w:left="589" w:right="567" w:hanging="530"/>
              <w:jc w:val="both"/>
              <w:rPr>
                <w:rFonts w:ascii="Arial Narrow" w:eastAsia="Calibri" w:hAnsi="Arial Narrow"/>
                <w:b/>
                <w:bCs/>
                <w:color w:val="000000" w:themeColor="text1"/>
                <w:u w:val="single"/>
                <w:lang w:val="es-CO"/>
              </w:rPr>
            </w:pPr>
          </w:p>
          <w:p w14:paraId="70A269B1" w14:textId="77777777" w:rsidR="004C2F1B" w:rsidRDefault="009D509B" w:rsidP="004C2F1B">
            <w:pPr>
              <w:pStyle w:val="TableParagraph"/>
              <w:tabs>
                <w:tab w:val="left" w:pos="584"/>
              </w:tabs>
              <w:ind w:left="589" w:right="567" w:hanging="530"/>
              <w:jc w:val="both"/>
              <w:rPr>
                <w:rFonts w:ascii="Arial Narrow" w:eastAsia="Calibri" w:hAnsi="Arial Narrow"/>
                <w:b/>
                <w:bCs/>
                <w:color w:val="000000" w:themeColor="text1"/>
                <w:u w:val="single"/>
                <w:lang w:val="es-CO"/>
              </w:rPr>
            </w:pPr>
            <w:r w:rsidRPr="00216953">
              <w:rPr>
                <w:rFonts w:ascii="Arial Narrow" w:eastAsia="Calibri" w:hAnsi="Arial Narrow"/>
                <w:b/>
                <w:bCs/>
                <w:color w:val="000000" w:themeColor="text1"/>
                <w:u w:val="single"/>
                <w:lang w:val="es-CO"/>
              </w:rPr>
              <w:t>Parte</w:t>
            </w:r>
            <w:r w:rsidR="00833E11" w:rsidRPr="00216953">
              <w:rPr>
                <w:rFonts w:ascii="Arial Narrow" w:eastAsia="Calibri" w:hAnsi="Arial Narrow"/>
                <w:b/>
                <w:bCs/>
                <w:color w:val="000000" w:themeColor="text1"/>
                <w:u w:val="single"/>
                <w:lang w:val="es-CO"/>
              </w:rPr>
              <w:t xml:space="preserve"> demandada</w:t>
            </w:r>
            <w:r w:rsidRPr="00216953">
              <w:rPr>
                <w:rFonts w:ascii="Arial Narrow" w:eastAsia="Calibri" w:hAnsi="Arial Narrow"/>
                <w:b/>
                <w:bCs/>
                <w:color w:val="000000" w:themeColor="text1"/>
                <w:u w:val="single"/>
                <w:lang w:val="es-CO"/>
              </w:rPr>
              <w:t xml:space="preserve">: </w:t>
            </w:r>
          </w:p>
          <w:p w14:paraId="030A9564" w14:textId="77777777" w:rsidR="004C2F1B" w:rsidRDefault="004C2F1B" w:rsidP="004C2F1B">
            <w:pPr>
              <w:pStyle w:val="TableParagraph"/>
              <w:tabs>
                <w:tab w:val="left" w:pos="584"/>
              </w:tabs>
              <w:ind w:left="589" w:right="567" w:hanging="530"/>
              <w:jc w:val="both"/>
              <w:rPr>
                <w:rFonts w:ascii="Arial Narrow" w:eastAsia="Calibri" w:hAnsi="Arial Narrow"/>
                <w:b/>
                <w:bCs/>
                <w:color w:val="000000" w:themeColor="text1"/>
                <w:u w:val="single"/>
                <w:lang w:val="es-CO"/>
              </w:rPr>
            </w:pPr>
          </w:p>
          <w:p w14:paraId="44EEFEE2" w14:textId="7F149C71"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 xml:space="preserve">Copia del </w:t>
            </w:r>
            <w:r>
              <w:rPr>
                <w:rFonts w:ascii="Arial Narrow" w:hAnsi="Arial Narrow" w:cs="Times New Roman"/>
                <w:lang w:val="es-MX" w:bidi="ar-SA"/>
              </w:rPr>
              <w:t>A</w:t>
            </w:r>
            <w:r w:rsidRPr="00E6621E">
              <w:rPr>
                <w:rFonts w:ascii="Arial Narrow" w:hAnsi="Arial Narrow" w:cs="Times New Roman"/>
                <w:lang w:val="es-MX" w:bidi="ar-SA"/>
              </w:rPr>
              <w:t xml:space="preserve">cuerdo </w:t>
            </w:r>
            <w:r>
              <w:rPr>
                <w:rFonts w:ascii="Arial Narrow" w:hAnsi="Arial Narrow" w:cs="Times New Roman"/>
                <w:lang w:val="es-MX" w:bidi="ar-SA"/>
              </w:rPr>
              <w:t>C</w:t>
            </w:r>
            <w:r w:rsidRPr="00E6621E">
              <w:rPr>
                <w:rFonts w:ascii="Arial Narrow" w:hAnsi="Arial Narrow" w:cs="Times New Roman"/>
                <w:lang w:val="es-MX" w:bidi="ar-SA"/>
              </w:rPr>
              <w:t xml:space="preserve">onsorcial celebrado el 19 de agosto de 2011 entre Fiduprevisora S.A. y Fiduciaria Colombiana de Comercio Exterior – Fiducoldex S.A., mediante el cual </w:t>
            </w:r>
            <w:r w:rsidR="00A414A5" w:rsidRPr="00E6621E">
              <w:rPr>
                <w:rFonts w:ascii="Arial Narrow" w:hAnsi="Arial Narrow" w:cs="Times New Roman"/>
                <w:lang w:val="es-MX" w:bidi="ar-SA"/>
              </w:rPr>
              <w:t>se conformó</w:t>
            </w:r>
            <w:r w:rsidRPr="00E6621E">
              <w:rPr>
                <w:rFonts w:ascii="Arial Narrow" w:hAnsi="Arial Narrow" w:cs="Times New Roman"/>
                <w:lang w:val="es-MX" w:bidi="ar-SA"/>
              </w:rPr>
              <w:t xml:space="preserve"> el Consorcio SAYP 2011.</w:t>
            </w:r>
          </w:p>
          <w:p w14:paraId="7FFFDB61" w14:textId="51B357D3"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del Contrato de Encargo Fiduciario No. 467 de 2011 celebrado el 23 de septiembre</w:t>
            </w:r>
            <w:r>
              <w:rPr>
                <w:rFonts w:ascii="Arial Narrow" w:hAnsi="Arial Narrow" w:cs="Times New Roman"/>
                <w:lang w:val="es-MX" w:bidi="ar-SA"/>
              </w:rPr>
              <w:t xml:space="preserve"> </w:t>
            </w:r>
            <w:r w:rsidRPr="00E6621E">
              <w:rPr>
                <w:rFonts w:ascii="Arial Narrow" w:hAnsi="Arial Narrow" w:cs="Times New Roman"/>
                <w:lang w:val="es-MX" w:bidi="ar-SA"/>
              </w:rPr>
              <w:t>de 2011 entre el Ministerio de Salud y Protección y el Consorcio SAYP.</w:t>
            </w:r>
          </w:p>
          <w:p w14:paraId="54375686" w14:textId="683E3E71"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Copia Acta de inicio</w:t>
            </w:r>
            <w:r w:rsidRPr="0062736E">
              <w:rPr>
                <w:rFonts w:ascii="Arial Narrow" w:hAnsi="Arial Narrow" w:cs="Times New Roman"/>
                <w:lang w:val="es-MX" w:bidi="ar-SA"/>
              </w:rPr>
              <w:t xml:space="preserve"> </w:t>
            </w:r>
            <w:r w:rsidRPr="00E6621E">
              <w:rPr>
                <w:rFonts w:ascii="Arial Narrow" w:hAnsi="Arial Narrow" w:cs="Times New Roman"/>
                <w:lang w:val="es-MX" w:bidi="ar-SA"/>
              </w:rPr>
              <w:t>Contrato de Encargo Fiduciario No. 467</w:t>
            </w:r>
            <w:r>
              <w:rPr>
                <w:rFonts w:ascii="Arial Narrow" w:hAnsi="Arial Narrow" w:cs="Times New Roman"/>
                <w:lang w:val="es-MX" w:bidi="ar-SA"/>
              </w:rPr>
              <w:t xml:space="preserve"> </w:t>
            </w:r>
            <w:r w:rsidRPr="00E6621E">
              <w:rPr>
                <w:rFonts w:ascii="Arial Narrow" w:hAnsi="Arial Narrow" w:cs="Times New Roman"/>
                <w:lang w:val="es-MX" w:bidi="ar-SA"/>
              </w:rPr>
              <w:t>de 2011</w:t>
            </w:r>
            <w:r>
              <w:rPr>
                <w:rFonts w:ascii="Arial Narrow" w:hAnsi="Arial Narrow" w:cs="Times New Roman"/>
                <w:lang w:val="es-MX" w:bidi="ar-SA"/>
              </w:rPr>
              <w:t>.</w:t>
            </w:r>
          </w:p>
          <w:p w14:paraId="7E4A5140" w14:textId="18F6F0DE"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 la Adición No.1 y Modificación No. 1 al Contrato de Encargo Fiduciario No. 467</w:t>
            </w:r>
            <w:r>
              <w:rPr>
                <w:rFonts w:ascii="Arial Narrow" w:hAnsi="Arial Narrow" w:cs="Times New Roman"/>
                <w:lang w:val="es-MX" w:bidi="ar-SA"/>
              </w:rPr>
              <w:t xml:space="preserve"> </w:t>
            </w:r>
            <w:r w:rsidRPr="00E6621E">
              <w:rPr>
                <w:rFonts w:ascii="Arial Narrow" w:hAnsi="Arial Narrow" w:cs="Times New Roman"/>
                <w:lang w:val="es-MX" w:bidi="ar-SA"/>
              </w:rPr>
              <w:t>de 2011 de fecha 5 de agosto de 2015.</w:t>
            </w:r>
          </w:p>
          <w:p w14:paraId="424E0307" w14:textId="4A0D0738"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 la Prórroga No. 1, Adición No. 2 y Modificación No. 2 al Contrato de Encargo</w:t>
            </w:r>
            <w:r>
              <w:rPr>
                <w:rFonts w:ascii="Arial Narrow" w:hAnsi="Arial Narrow" w:cs="Times New Roman"/>
                <w:lang w:val="es-MX" w:bidi="ar-SA"/>
              </w:rPr>
              <w:t xml:space="preserve"> </w:t>
            </w:r>
            <w:r w:rsidRPr="00E6621E">
              <w:rPr>
                <w:rFonts w:ascii="Arial Narrow" w:hAnsi="Arial Narrow" w:cs="Times New Roman"/>
                <w:lang w:val="es-MX" w:bidi="ar-SA"/>
              </w:rPr>
              <w:t>Fiduciario No. 467 de 2011 de fecha 26 de agosto de 2016.</w:t>
            </w:r>
          </w:p>
          <w:p w14:paraId="63D7895E" w14:textId="3CB99FE2"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 la Prórroga No. 2, Adición No. 3 y Modificación No. 3 al Contrato de Encargo</w:t>
            </w:r>
            <w:r>
              <w:rPr>
                <w:rFonts w:ascii="Arial Narrow" w:hAnsi="Arial Narrow" w:cs="Times New Roman"/>
                <w:lang w:val="es-MX" w:bidi="ar-SA"/>
              </w:rPr>
              <w:t xml:space="preserve"> </w:t>
            </w:r>
            <w:r w:rsidRPr="00E6621E">
              <w:rPr>
                <w:rFonts w:ascii="Arial Narrow" w:hAnsi="Arial Narrow" w:cs="Times New Roman"/>
                <w:lang w:val="es-MX" w:bidi="ar-SA"/>
              </w:rPr>
              <w:t>Fiduciario No. 467 de 2011 de fecha 31 de marzo de 2017.</w:t>
            </w:r>
          </w:p>
          <w:p w14:paraId="3030EFEF" w14:textId="2EDA43D7"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8F61BE">
              <w:rPr>
                <w:rFonts w:ascii="Arial Narrow" w:hAnsi="Arial Narrow"/>
                <w:bCs/>
                <w:color w:val="000000"/>
                <w:kern w:val="2"/>
                <w:lang w:eastAsia="es-CO" w:bidi="ar-SA"/>
                <w14:ligatures w14:val="standardContextual"/>
              </w:rPr>
              <w:t xml:space="preserve">Contrato de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 xml:space="preserve"> suscrito con Jahv McGregor S.A.S.</w:t>
            </w:r>
          </w:p>
          <w:p w14:paraId="7CE05513" w14:textId="52386926"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Copia Acta de inicio</w:t>
            </w:r>
            <w:r w:rsidRPr="0062736E">
              <w:rPr>
                <w:rFonts w:ascii="Arial Narrow" w:hAnsi="Arial Narrow" w:cs="Times New Roman"/>
                <w:lang w:val="es-MX" w:bidi="ar-SA"/>
              </w:rPr>
              <w:t xml:space="preserve">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5D31EEE8" w14:textId="5DA17E46"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 xml:space="preserve">Copia </w:t>
            </w:r>
            <w:r w:rsidR="00186295" w:rsidRPr="006E36CE">
              <w:rPr>
                <w:rFonts w:ascii="Arial Narrow" w:hAnsi="Arial Narrow" w:cs="Times New Roman"/>
                <w:lang w:val="es-MX" w:bidi="ar-SA"/>
              </w:rPr>
              <w:t>Modificación</w:t>
            </w:r>
            <w:r w:rsidRPr="006E36CE">
              <w:rPr>
                <w:rFonts w:ascii="Arial Narrow" w:hAnsi="Arial Narrow" w:cs="Times New Roman"/>
                <w:lang w:val="es-MX" w:bidi="ar-SA"/>
              </w:rPr>
              <w:t xml:space="preserve"> N</w:t>
            </w:r>
            <w:r>
              <w:rPr>
                <w:rFonts w:ascii="Arial Narrow" w:hAnsi="Arial Narrow" w:cs="Times New Roman"/>
                <w:lang w:val="es-MX" w:bidi="ar-SA"/>
              </w:rPr>
              <w:t>o.1</w:t>
            </w:r>
            <w:r w:rsidRPr="006E36CE">
              <w:rPr>
                <w:rFonts w:ascii="Arial Narrow" w:hAnsi="Arial Narrow" w:cs="Times New Roman"/>
                <w:lang w:val="es-MX" w:bidi="ar-SA"/>
              </w:rPr>
              <w:t xml:space="preserve"> v2</w:t>
            </w:r>
            <w:r>
              <w:rPr>
                <w:rFonts w:ascii="Arial Narrow" w:hAnsi="Arial Narrow" w:cs="Times New Roman"/>
                <w:lang w:val="es-MX" w:bidi="ar-SA"/>
              </w:rPr>
              <w:t xml:space="preserve">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2842D4DB" w14:textId="32D01084"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Copia</w:t>
            </w:r>
            <w:r w:rsidRPr="00A55D52">
              <w:rPr>
                <w:rFonts w:ascii="Arial Narrow" w:hAnsi="Arial Narrow" w:cs="Times New Roman"/>
                <w:lang w:val="es-MX" w:bidi="ar-SA"/>
              </w:rPr>
              <w:t xml:space="preserve"> Prorroga 1 </w:t>
            </w:r>
            <w:r w:rsidR="00186295" w:rsidRPr="00A55D52">
              <w:rPr>
                <w:rFonts w:ascii="Arial Narrow" w:hAnsi="Arial Narrow" w:cs="Times New Roman"/>
                <w:lang w:val="es-MX" w:bidi="ar-SA"/>
              </w:rPr>
              <w:t>Adición</w:t>
            </w:r>
            <w:r w:rsidRPr="00A55D52">
              <w:rPr>
                <w:rFonts w:ascii="Arial Narrow" w:hAnsi="Arial Narrow" w:cs="Times New Roman"/>
                <w:lang w:val="es-MX" w:bidi="ar-SA"/>
              </w:rPr>
              <w:t xml:space="preserve"> 1 y </w:t>
            </w:r>
            <w:r w:rsidR="00186295" w:rsidRPr="00A55D52">
              <w:rPr>
                <w:rFonts w:ascii="Arial Narrow" w:hAnsi="Arial Narrow" w:cs="Times New Roman"/>
                <w:lang w:val="es-MX" w:bidi="ar-SA"/>
              </w:rPr>
              <w:t>Modificación</w:t>
            </w:r>
            <w:r w:rsidRPr="00A55D52">
              <w:rPr>
                <w:rFonts w:ascii="Arial Narrow" w:hAnsi="Arial Narrow" w:cs="Times New Roman"/>
                <w:lang w:val="es-MX" w:bidi="ar-SA"/>
              </w:rPr>
              <w:t xml:space="preserve"> 2</w:t>
            </w:r>
            <w:r>
              <w:rPr>
                <w:rFonts w:ascii="Arial Narrow" w:hAnsi="Arial Narrow" w:cs="Times New Roman"/>
                <w:lang w:val="es-MX" w:bidi="ar-SA"/>
              </w:rPr>
              <w:t xml:space="preserve">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60B891BC" w14:textId="742AC26D"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A55D52">
              <w:rPr>
                <w:rFonts w:ascii="Arial Narrow" w:hAnsi="Arial Narrow" w:cs="Times New Roman"/>
                <w:lang w:val="es-MX" w:bidi="ar-SA"/>
              </w:rPr>
              <w:t>C</w:t>
            </w:r>
            <w:r>
              <w:rPr>
                <w:rFonts w:ascii="Arial Narrow" w:hAnsi="Arial Narrow" w:cs="Times New Roman"/>
                <w:lang w:val="es-MX" w:bidi="ar-SA"/>
              </w:rPr>
              <w:t xml:space="preserve">opia </w:t>
            </w:r>
            <w:r w:rsidRPr="00A55D52">
              <w:rPr>
                <w:rFonts w:ascii="Arial Narrow" w:hAnsi="Arial Narrow" w:cs="Times New Roman"/>
                <w:lang w:val="es-MX" w:bidi="ar-SA"/>
              </w:rPr>
              <w:t xml:space="preserve">Prorroga 2 </w:t>
            </w:r>
            <w:r w:rsidR="00186295" w:rsidRPr="00A55D52">
              <w:rPr>
                <w:rFonts w:ascii="Arial Narrow" w:hAnsi="Arial Narrow" w:cs="Times New Roman"/>
                <w:lang w:val="es-MX" w:bidi="ar-SA"/>
              </w:rPr>
              <w:t>Adición</w:t>
            </w:r>
            <w:r w:rsidRPr="00A55D52">
              <w:rPr>
                <w:rFonts w:ascii="Arial Narrow" w:hAnsi="Arial Narrow" w:cs="Times New Roman"/>
                <w:lang w:val="es-MX" w:bidi="ar-SA"/>
              </w:rPr>
              <w:t xml:space="preserve"> 2 y </w:t>
            </w:r>
            <w:r w:rsidR="00186295" w:rsidRPr="00A55D52">
              <w:rPr>
                <w:rFonts w:ascii="Arial Narrow" w:hAnsi="Arial Narrow" w:cs="Times New Roman"/>
                <w:lang w:val="es-MX" w:bidi="ar-SA"/>
              </w:rPr>
              <w:t>Modificación</w:t>
            </w:r>
            <w:r w:rsidRPr="00A55D52">
              <w:rPr>
                <w:rFonts w:ascii="Arial Narrow" w:hAnsi="Arial Narrow" w:cs="Times New Roman"/>
                <w:lang w:val="es-MX" w:bidi="ar-SA"/>
              </w:rPr>
              <w:t xml:space="preserve"> 3</w:t>
            </w:r>
            <w:r>
              <w:rPr>
                <w:rFonts w:ascii="Arial Narrow" w:hAnsi="Arial Narrow" w:cs="Times New Roman"/>
                <w:lang w:val="es-MX" w:bidi="ar-SA"/>
              </w:rPr>
              <w:t xml:space="preserve">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74A8A24E" w14:textId="3643CE54"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761CA5">
              <w:rPr>
                <w:rFonts w:ascii="Arial Narrow" w:hAnsi="Arial Narrow" w:cs="Times New Roman"/>
                <w:lang w:val="es-MX" w:bidi="ar-SA"/>
              </w:rPr>
              <w:t>C</w:t>
            </w:r>
            <w:r>
              <w:rPr>
                <w:rFonts w:ascii="Arial Narrow" w:hAnsi="Arial Narrow" w:cs="Times New Roman"/>
                <w:lang w:val="es-MX" w:bidi="ar-SA"/>
              </w:rPr>
              <w:t xml:space="preserve">opia </w:t>
            </w:r>
            <w:r w:rsidRPr="00761CA5">
              <w:rPr>
                <w:rFonts w:ascii="Arial Narrow" w:hAnsi="Arial Narrow" w:cs="Times New Roman"/>
                <w:lang w:val="es-MX" w:bidi="ar-SA"/>
              </w:rPr>
              <w:t xml:space="preserve">Prorroga 3 </w:t>
            </w:r>
            <w:r w:rsidR="00186295" w:rsidRPr="00761CA5">
              <w:rPr>
                <w:rFonts w:ascii="Arial Narrow" w:hAnsi="Arial Narrow" w:cs="Times New Roman"/>
                <w:lang w:val="es-MX" w:bidi="ar-SA"/>
              </w:rPr>
              <w:t>Adición</w:t>
            </w:r>
            <w:r w:rsidRPr="00761CA5">
              <w:rPr>
                <w:rFonts w:ascii="Arial Narrow" w:hAnsi="Arial Narrow" w:cs="Times New Roman"/>
                <w:lang w:val="es-MX" w:bidi="ar-SA"/>
              </w:rPr>
              <w:t xml:space="preserve"> 3 y </w:t>
            </w:r>
            <w:r w:rsidR="00186295" w:rsidRPr="00761CA5">
              <w:rPr>
                <w:rFonts w:ascii="Arial Narrow" w:hAnsi="Arial Narrow" w:cs="Times New Roman"/>
                <w:lang w:val="es-MX" w:bidi="ar-SA"/>
              </w:rPr>
              <w:t>Modificación</w:t>
            </w:r>
            <w:r w:rsidRPr="00761CA5">
              <w:rPr>
                <w:rFonts w:ascii="Arial Narrow" w:hAnsi="Arial Narrow" w:cs="Times New Roman"/>
                <w:lang w:val="es-MX" w:bidi="ar-SA"/>
              </w:rPr>
              <w:t xml:space="preserve"> 4</w:t>
            </w:r>
            <w:r>
              <w:rPr>
                <w:rFonts w:ascii="Arial Narrow" w:hAnsi="Arial Narrow" w:cs="Times New Roman"/>
                <w:lang w:val="es-MX" w:bidi="ar-SA"/>
              </w:rPr>
              <w:t xml:space="preserve">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103B2457" w14:textId="7F568489"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 xml:space="preserve">Copia </w:t>
            </w:r>
            <w:r w:rsidRPr="00761CA5">
              <w:rPr>
                <w:rFonts w:ascii="Arial Narrow" w:hAnsi="Arial Narrow" w:cs="Times New Roman"/>
                <w:lang w:val="es-MX" w:bidi="ar-SA"/>
              </w:rPr>
              <w:t xml:space="preserve">Prorroga 4 </w:t>
            </w:r>
            <w:r w:rsidR="00186295" w:rsidRPr="00761CA5">
              <w:rPr>
                <w:rFonts w:ascii="Arial Narrow" w:hAnsi="Arial Narrow" w:cs="Times New Roman"/>
                <w:lang w:val="es-MX" w:bidi="ar-SA"/>
              </w:rPr>
              <w:t>Adición</w:t>
            </w:r>
            <w:r w:rsidRPr="00761CA5">
              <w:rPr>
                <w:rFonts w:ascii="Arial Narrow" w:hAnsi="Arial Narrow" w:cs="Times New Roman"/>
                <w:lang w:val="es-MX" w:bidi="ar-SA"/>
              </w:rPr>
              <w:t xml:space="preserve"> 4 y </w:t>
            </w:r>
            <w:r w:rsidR="00186295" w:rsidRPr="00761CA5">
              <w:rPr>
                <w:rFonts w:ascii="Arial Narrow" w:hAnsi="Arial Narrow" w:cs="Times New Roman"/>
                <w:lang w:val="es-MX" w:bidi="ar-SA"/>
              </w:rPr>
              <w:t>Modificación</w:t>
            </w:r>
            <w:r w:rsidRPr="00761CA5">
              <w:rPr>
                <w:rFonts w:ascii="Arial Narrow" w:hAnsi="Arial Narrow" w:cs="Times New Roman"/>
                <w:lang w:val="es-MX" w:bidi="ar-SA"/>
              </w:rPr>
              <w:t xml:space="preserve"> 5 </w:t>
            </w:r>
            <w:r w:rsidRPr="00E6621E">
              <w:rPr>
                <w:rFonts w:ascii="Arial Narrow" w:hAnsi="Arial Narrow" w:cs="Times New Roman"/>
                <w:lang w:val="es-MX" w:bidi="ar-SA"/>
              </w:rPr>
              <w:t>Contrato de</w:t>
            </w:r>
            <w:r w:rsidRPr="008F61BE">
              <w:rPr>
                <w:rFonts w:ascii="Arial Narrow" w:hAnsi="Arial Narrow"/>
                <w:bCs/>
                <w:color w:val="000000"/>
                <w:kern w:val="2"/>
                <w:lang w:eastAsia="es-CO" w:bidi="ar-SA"/>
                <w14:ligatures w14:val="standardContextual"/>
              </w:rPr>
              <w:t xml:space="preserve"> </w:t>
            </w:r>
            <w:r>
              <w:rPr>
                <w:rFonts w:ascii="Arial Narrow" w:hAnsi="Arial Narrow"/>
                <w:bCs/>
                <w:color w:val="000000"/>
                <w:kern w:val="2"/>
                <w:lang w:eastAsia="es-CO" w:bidi="ar-SA"/>
                <w14:ligatures w14:val="standardContextual"/>
              </w:rPr>
              <w:t>I</w:t>
            </w:r>
            <w:r w:rsidRPr="008F61BE">
              <w:rPr>
                <w:rFonts w:ascii="Arial Narrow" w:hAnsi="Arial Narrow"/>
                <w:bCs/>
                <w:color w:val="000000"/>
                <w:kern w:val="2"/>
                <w:lang w:eastAsia="es-CO" w:bidi="ar-SA"/>
                <w14:ligatures w14:val="standardContextual"/>
              </w:rPr>
              <w:t>nterventoría No. 103 de 2012</w:t>
            </w:r>
            <w:r>
              <w:rPr>
                <w:rFonts w:ascii="Arial Narrow" w:hAnsi="Arial Narrow"/>
                <w:bCs/>
                <w:color w:val="000000"/>
                <w:kern w:val="2"/>
                <w:lang w:eastAsia="es-CO" w:bidi="ar-SA"/>
                <w14:ligatures w14:val="standardContextual"/>
              </w:rPr>
              <w:t>.</w:t>
            </w:r>
          </w:p>
          <w:p w14:paraId="07951A29" w14:textId="66D3B83B"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 xml:space="preserve">Informe de </w:t>
            </w:r>
            <w:r w:rsidRPr="00E6621E">
              <w:rPr>
                <w:rFonts w:ascii="Arial Narrow" w:hAnsi="Arial Narrow" w:cs="Times New Roman"/>
                <w:lang w:val="es-MX" w:bidi="ar-SA"/>
              </w:rPr>
              <w:t>Interventoría denominado BALANCE FINAL CTO 467 VF-2020</w:t>
            </w:r>
            <w:r>
              <w:rPr>
                <w:rFonts w:ascii="Arial Narrow" w:hAnsi="Arial Narrow" w:cs="Times New Roman"/>
                <w:lang w:val="es-MX" w:bidi="ar-SA"/>
              </w:rPr>
              <w:t xml:space="preserve"> y anexos  del balance final.</w:t>
            </w:r>
          </w:p>
          <w:p w14:paraId="2C18C6BF" w14:textId="7B617684"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 xml:space="preserve">Soportes de la Liquidación del Contrato </w:t>
            </w:r>
            <w:r w:rsidRPr="00E6621E">
              <w:rPr>
                <w:rFonts w:ascii="Arial Narrow" w:hAnsi="Arial Narrow" w:cs="Times New Roman"/>
                <w:lang w:val="es-MX" w:bidi="ar-SA"/>
              </w:rPr>
              <w:t>de Encargo Fiduciario No. 467 de 2011</w:t>
            </w:r>
            <w:r>
              <w:rPr>
                <w:rFonts w:ascii="Arial Narrow" w:hAnsi="Arial Narrow" w:cs="Times New Roman"/>
                <w:lang w:val="es-MX" w:bidi="ar-SA"/>
              </w:rPr>
              <w:t>.</w:t>
            </w:r>
          </w:p>
          <w:p w14:paraId="3FD8A621" w14:textId="11858C28"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 la Resolución 544 de 2021 proferida por la ADRES.</w:t>
            </w:r>
          </w:p>
          <w:p w14:paraId="016AF755" w14:textId="0B1122E4"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sidRPr="00E6621E">
              <w:rPr>
                <w:rFonts w:ascii="Arial Narrow" w:hAnsi="Arial Narrow" w:cs="Times New Roman"/>
                <w:lang w:val="es-MX" w:bidi="ar-SA"/>
              </w:rPr>
              <w:t>Copia de la Resolución 609 de 2021 proferida también por la ADRES</w:t>
            </w:r>
            <w:r>
              <w:rPr>
                <w:rFonts w:ascii="Arial Narrow" w:hAnsi="Arial Narrow" w:cs="Times New Roman"/>
                <w:lang w:val="es-MX" w:bidi="ar-SA"/>
              </w:rPr>
              <w:t>.</w:t>
            </w:r>
          </w:p>
          <w:p w14:paraId="16552A7F" w14:textId="3B46E6B9"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Acta de Acuerdo Conciliatorio Procuraduría 55 Judicial II Asuntos Administrativos.</w:t>
            </w:r>
          </w:p>
          <w:p w14:paraId="6B6CB4C6" w14:textId="03FEB3C1" w:rsidR="0065214F" w:rsidRPr="004E7601"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Concepto Contraloría General de la República que imprueba el acuerdo conciliatorio.</w:t>
            </w:r>
          </w:p>
          <w:p w14:paraId="445FF336" w14:textId="77777777" w:rsidR="0065214F" w:rsidRDefault="0065214F" w:rsidP="0065214F">
            <w:pPr>
              <w:pStyle w:val="Prrafodelista"/>
              <w:widowControl/>
              <w:numPr>
                <w:ilvl w:val="0"/>
                <w:numId w:val="24"/>
              </w:numPr>
              <w:adjustRightInd w:val="0"/>
              <w:ind w:right="-138"/>
              <w:contextualSpacing/>
              <w:jc w:val="both"/>
              <w:rPr>
                <w:rFonts w:ascii="Arial Narrow" w:hAnsi="Arial Narrow" w:cs="Times New Roman"/>
                <w:lang w:val="es-MX" w:bidi="ar-SA"/>
              </w:rPr>
            </w:pPr>
            <w:r>
              <w:rPr>
                <w:rFonts w:ascii="Arial Narrow" w:hAnsi="Arial Narrow" w:cs="Times New Roman"/>
                <w:lang w:val="es-MX" w:bidi="ar-SA"/>
              </w:rPr>
              <w:t>Auto del 19 de octubre de 2023 que imprueba acuerdo conciliatorio, proferido por el Tribunal Administrativo de Cundinamarca Sección Tercera – Subsección C.</w:t>
            </w:r>
          </w:p>
          <w:p w14:paraId="1A11EBDC" w14:textId="77777777" w:rsidR="00422122" w:rsidRPr="004E7601" w:rsidRDefault="00422122" w:rsidP="004E7601">
            <w:pPr>
              <w:pStyle w:val="TableParagraph"/>
              <w:tabs>
                <w:tab w:val="left" w:pos="584"/>
              </w:tabs>
              <w:ind w:right="567"/>
              <w:jc w:val="both"/>
              <w:rPr>
                <w:rFonts w:ascii="Arial Narrow" w:hAnsi="Arial Narrow"/>
                <w:lang w:val="es-MX"/>
              </w:rPr>
            </w:pPr>
          </w:p>
          <w:p w14:paraId="5628CE42" w14:textId="77777777" w:rsidR="004C2F1B" w:rsidRDefault="004C2F1B" w:rsidP="004C2F1B">
            <w:pPr>
              <w:pStyle w:val="TableParagraph"/>
              <w:tabs>
                <w:tab w:val="left" w:pos="584"/>
              </w:tabs>
              <w:ind w:left="589" w:right="567"/>
              <w:jc w:val="both"/>
              <w:rPr>
                <w:rFonts w:ascii="Arial Narrow" w:hAnsi="Arial Narrow"/>
                <w:b/>
                <w:bCs/>
                <w:lang w:val="es-CO"/>
              </w:rPr>
            </w:pPr>
            <w:r w:rsidRPr="004C2F1B">
              <w:rPr>
                <w:rFonts w:ascii="Arial Narrow" w:hAnsi="Arial Narrow"/>
                <w:b/>
                <w:bCs/>
                <w:lang w:val="es-CO"/>
              </w:rPr>
              <w:t>Testimonios:</w:t>
            </w:r>
          </w:p>
          <w:p w14:paraId="5AFD4F77" w14:textId="77777777" w:rsidR="00786D74" w:rsidRDefault="00786D74" w:rsidP="004C2F1B">
            <w:pPr>
              <w:pStyle w:val="TableParagraph"/>
              <w:tabs>
                <w:tab w:val="left" w:pos="584"/>
              </w:tabs>
              <w:ind w:left="589" w:right="567"/>
              <w:jc w:val="both"/>
              <w:rPr>
                <w:rFonts w:ascii="Arial Narrow" w:hAnsi="Arial Narrow"/>
                <w:lang w:val="es-CO"/>
              </w:rPr>
            </w:pPr>
          </w:p>
          <w:p w14:paraId="53A5A956" w14:textId="1B16DF53" w:rsidR="004C2F1B" w:rsidRPr="00231BB2" w:rsidRDefault="004C2F1B" w:rsidP="00231BB2">
            <w:pPr>
              <w:pStyle w:val="TableParagraph"/>
              <w:numPr>
                <w:ilvl w:val="0"/>
                <w:numId w:val="24"/>
              </w:numPr>
              <w:tabs>
                <w:tab w:val="left" w:pos="584"/>
              </w:tabs>
              <w:ind w:right="567"/>
              <w:jc w:val="both"/>
              <w:rPr>
                <w:rFonts w:ascii="Arial Narrow" w:hAnsi="Arial Narrow"/>
                <w:lang w:val="es-CO"/>
              </w:rPr>
            </w:pPr>
            <w:r w:rsidRPr="004C2F1B">
              <w:rPr>
                <w:rFonts w:ascii="Arial Narrow" w:hAnsi="Arial Narrow"/>
                <w:b/>
                <w:bCs/>
                <w:lang w:val="es-CO"/>
              </w:rPr>
              <w:t>Juan Camilo Martínez Rodríguez</w:t>
            </w:r>
            <w:r w:rsidRPr="004C2F1B">
              <w:rPr>
                <w:rFonts w:ascii="Arial Narrow" w:hAnsi="Arial Narrow"/>
                <w:lang w:val="es-CO"/>
              </w:rPr>
              <w:t>, puede ser notificado en la dirección electrónica</w:t>
            </w:r>
            <w:r w:rsidR="00231BB2">
              <w:rPr>
                <w:rFonts w:ascii="Arial Narrow" w:hAnsi="Arial Narrow"/>
                <w:lang w:val="es-CO"/>
              </w:rPr>
              <w:t xml:space="preserve"> </w:t>
            </w:r>
            <w:r w:rsidRPr="004C2F1B">
              <w:rPr>
                <w:rFonts w:ascii="Arial Narrow" w:hAnsi="Arial Narrow"/>
                <w:lang w:val="es-CO"/>
              </w:rPr>
              <w:t xml:space="preserve">juan.martinez@adres.gov.co, actual funcionario de la </w:t>
            </w:r>
            <w:r w:rsidR="00231BB2" w:rsidRPr="004C2F1B">
              <w:rPr>
                <w:rFonts w:ascii="Arial Narrow" w:hAnsi="Arial Narrow"/>
                <w:lang w:val="es-CO"/>
              </w:rPr>
              <w:t>Dirección</w:t>
            </w:r>
            <w:r w:rsidRPr="004C2F1B">
              <w:rPr>
                <w:rFonts w:ascii="Arial Narrow" w:hAnsi="Arial Narrow"/>
                <w:lang w:val="es-CO"/>
              </w:rPr>
              <w:t xml:space="preserve"> Administrativa y Financiera de la ADRES. Su</w:t>
            </w:r>
            <w:r w:rsidR="00786D74" w:rsidRPr="00231BB2">
              <w:rPr>
                <w:rFonts w:ascii="Arial Narrow" w:hAnsi="Arial Narrow"/>
                <w:lang w:val="es-CO"/>
              </w:rPr>
              <w:t xml:space="preserve"> </w:t>
            </w:r>
            <w:r w:rsidRPr="004C2F1B">
              <w:rPr>
                <w:rFonts w:ascii="Arial Narrow" w:hAnsi="Arial Narrow"/>
                <w:lang w:val="es-CO"/>
              </w:rPr>
              <w:t>declaración versará sobre el trámite del procedimiento adelantado por la ADRES en la aplicación de la</w:t>
            </w:r>
            <w:r w:rsidR="00786D74" w:rsidRPr="00231BB2">
              <w:rPr>
                <w:rFonts w:ascii="Arial Narrow" w:hAnsi="Arial Narrow"/>
                <w:lang w:val="es-CO"/>
              </w:rPr>
              <w:t xml:space="preserve"> </w:t>
            </w:r>
            <w:r w:rsidRPr="004C2F1B">
              <w:rPr>
                <w:rFonts w:ascii="Arial Narrow" w:hAnsi="Arial Narrow"/>
                <w:lang w:val="es-CO"/>
              </w:rPr>
              <w:t>metodología y la liquidación del Contrato de Encargo Fiduciario No. 467 de 2011 que se efectuó a través de los</w:t>
            </w:r>
            <w:r w:rsidR="00786D74" w:rsidRPr="00231BB2">
              <w:rPr>
                <w:rFonts w:ascii="Arial Narrow" w:hAnsi="Arial Narrow"/>
                <w:lang w:val="es-CO"/>
              </w:rPr>
              <w:t xml:space="preserve"> </w:t>
            </w:r>
            <w:r w:rsidRPr="00231BB2">
              <w:rPr>
                <w:rFonts w:ascii="Arial Narrow" w:hAnsi="Arial Narrow"/>
                <w:lang w:val="es-CO"/>
              </w:rPr>
              <w:t>actos administrativos objeto de la demanda, la Resolución No. 544 de 2021 y la Resolución No. 609 de 2021.</w:t>
            </w:r>
          </w:p>
          <w:p w14:paraId="48EDC501" w14:textId="77777777" w:rsidR="00422122" w:rsidRPr="00422122" w:rsidRDefault="00422122" w:rsidP="00422122">
            <w:pPr>
              <w:pStyle w:val="TableParagraph"/>
              <w:tabs>
                <w:tab w:val="left" w:pos="584"/>
              </w:tabs>
              <w:ind w:left="589" w:right="567"/>
              <w:jc w:val="both"/>
              <w:rPr>
                <w:rFonts w:ascii="Arial Narrow" w:hAnsi="Arial Narrow"/>
                <w:lang w:val="es-CO"/>
              </w:rPr>
            </w:pPr>
          </w:p>
          <w:p w14:paraId="2AA6E8B7" w14:textId="77777777" w:rsidR="00C34D5C" w:rsidRDefault="00325F05" w:rsidP="001E3F61">
            <w:pPr>
              <w:pStyle w:val="TableParagraph"/>
              <w:numPr>
                <w:ilvl w:val="0"/>
                <w:numId w:val="2"/>
              </w:numPr>
              <w:tabs>
                <w:tab w:val="left" w:pos="584"/>
              </w:tabs>
              <w:ind w:left="836" w:right="567"/>
              <w:jc w:val="both"/>
              <w:rPr>
                <w:rFonts w:ascii="Arial Narrow" w:hAnsi="Arial Narrow"/>
                <w:b/>
                <w:bCs/>
                <w:color w:val="000000" w:themeColor="text1"/>
                <w:lang w:val="es-CO"/>
              </w:rPr>
            </w:pPr>
            <w:r w:rsidRPr="007F2B6C">
              <w:rPr>
                <w:rFonts w:ascii="Arial Narrow" w:hAnsi="Arial Narrow"/>
                <w:b/>
                <w:bCs/>
                <w:color w:val="000000" w:themeColor="text1"/>
                <w:lang w:val="es-CO"/>
              </w:rPr>
              <w:t>Presuntas normas violadas</w:t>
            </w:r>
          </w:p>
          <w:p w14:paraId="7811FD8A" w14:textId="6ECC31FF" w:rsidR="00325F05" w:rsidRPr="007F2B6C" w:rsidRDefault="00325F05" w:rsidP="00C34D5C">
            <w:pPr>
              <w:pStyle w:val="TableParagraph"/>
              <w:tabs>
                <w:tab w:val="left" w:pos="584"/>
              </w:tabs>
              <w:ind w:left="836" w:right="567"/>
              <w:jc w:val="both"/>
              <w:rPr>
                <w:rFonts w:ascii="Arial Narrow" w:hAnsi="Arial Narrow"/>
                <w:b/>
                <w:bCs/>
                <w:color w:val="000000" w:themeColor="text1"/>
                <w:lang w:val="es-CO"/>
              </w:rPr>
            </w:pPr>
            <w:r w:rsidRPr="007F2B6C">
              <w:rPr>
                <w:rFonts w:ascii="Arial Narrow" w:hAnsi="Arial Narrow"/>
                <w:b/>
                <w:bCs/>
                <w:color w:val="000000" w:themeColor="text1"/>
                <w:lang w:val="es-CO"/>
              </w:rPr>
              <w:t xml:space="preserve"> </w:t>
            </w:r>
          </w:p>
          <w:p w14:paraId="20015FAD" w14:textId="5BD0A80F" w:rsidR="00C34D5C" w:rsidRPr="00C34D5C" w:rsidRDefault="00C34D5C" w:rsidP="00C34D5C">
            <w:pPr>
              <w:pStyle w:val="TableParagraph"/>
              <w:numPr>
                <w:ilvl w:val="1"/>
                <w:numId w:val="25"/>
              </w:numPr>
              <w:tabs>
                <w:tab w:val="left" w:pos="338"/>
              </w:tabs>
              <w:rPr>
                <w:rFonts w:ascii="Arial Narrow" w:hAnsi="Arial Narrow"/>
                <w:color w:val="000000" w:themeColor="text1"/>
                <w:lang w:val="es-CO"/>
              </w:rPr>
            </w:pPr>
            <w:r w:rsidRPr="00C34D5C">
              <w:rPr>
                <w:rFonts w:ascii="Arial Narrow" w:hAnsi="Arial Narrow"/>
                <w:color w:val="000000" w:themeColor="text1"/>
                <w:lang w:val="es-CO"/>
              </w:rPr>
              <w:t>Artículos 1602 y 1603 del Código Civil</w:t>
            </w:r>
          </w:p>
          <w:p w14:paraId="6FC0324E" w14:textId="77777777" w:rsidR="00C34D5C" w:rsidRPr="00C34D5C" w:rsidRDefault="00C34D5C" w:rsidP="00C34D5C">
            <w:pPr>
              <w:pStyle w:val="TableParagraph"/>
              <w:numPr>
                <w:ilvl w:val="1"/>
                <w:numId w:val="25"/>
              </w:numPr>
              <w:tabs>
                <w:tab w:val="left" w:pos="338"/>
              </w:tabs>
              <w:rPr>
                <w:rFonts w:ascii="Arial Narrow" w:hAnsi="Arial Narrow"/>
                <w:color w:val="000000" w:themeColor="text1"/>
                <w:lang w:val="es-CO"/>
              </w:rPr>
            </w:pPr>
            <w:r w:rsidRPr="00C34D5C">
              <w:rPr>
                <w:rFonts w:ascii="Arial Narrow" w:hAnsi="Arial Narrow"/>
                <w:color w:val="000000" w:themeColor="text1"/>
                <w:lang w:val="es-CO"/>
              </w:rPr>
              <w:t>Artículo 13 de la Ley 80 de 1993</w:t>
            </w:r>
          </w:p>
          <w:p w14:paraId="3B56DEF6" w14:textId="77777777" w:rsidR="00C34D5C" w:rsidRPr="00C34D5C" w:rsidRDefault="00C34D5C" w:rsidP="00C34D5C">
            <w:pPr>
              <w:pStyle w:val="TableParagraph"/>
              <w:numPr>
                <w:ilvl w:val="1"/>
                <w:numId w:val="25"/>
              </w:numPr>
              <w:tabs>
                <w:tab w:val="left" w:pos="338"/>
              </w:tabs>
              <w:rPr>
                <w:rFonts w:ascii="Arial Narrow" w:hAnsi="Arial Narrow"/>
                <w:color w:val="000000" w:themeColor="text1"/>
                <w:lang w:val="es-CO"/>
              </w:rPr>
            </w:pPr>
            <w:r w:rsidRPr="00C34D5C">
              <w:rPr>
                <w:rFonts w:ascii="Arial Narrow" w:hAnsi="Arial Narrow"/>
                <w:color w:val="000000" w:themeColor="text1"/>
                <w:lang w:val="es-CO"/>
              </w:rPr>
              <w:t>Artículo 29 de la Constitución Política de Colombia</w:t>
            </w:r>
          </w:p>
          <w:p w14:paraId="691C5DA1" w14:textId="77777777" w:rsidR="00C34D5C" w:rsidRPr="00C34D5C" w:rsidRDefault="00C34D5C" w:rsidP="00C34D5C">
            <w:pPr>
              <w:pStyle w:val="TableParagraph"/>
              <w:tabs>
                <w:tab w:val="left" w:pos="338"/>
              </w:tabs>
              <w:ind w:left="720"/>
              <w:rPr>
                <w:rFonts w:ascii="Arial Narrow" w:hAnsi="Arial Narrow"/>
                <w:b/>
                <w:bCs/>
                <w:color w:val="000000" w:themeColor="text1"/>
                <w:lang w:val="es-CO"/>
              </w:rPr>
            </w:pPr>
          </w:p>
          <w:p w14:paraId="7AF863D4" w14:textId="2E9D27BC" w:rsidR="004E7601" w:rsidRDefault="00B04A0B" w:rsidP="004E7601">
            <w:pPr>
              <w:pStyle w:val="TableParagraph"/>
              <w:numPr>
                <w:ilvl w:val="0"/>
                <w:numId w:val="2"/>
              </w:numPr>
              <w:tabs>
                <w:tab w:val="left" w:pos="584"/>
              </w:tabs>
              <w:ind w:left="836" w:right="567"/>
              <w:jc w:val="both"/>
              <w:rPr>
                <w:rFonts w:ascii="Arial Narrow" w:hAnsi="Arial Narrow"/>
                <w:b/>
                <w:bCs/>
                <w:color w:val="000000" w:themeColor="text1"/>
                <w:lang w:val="es-CO"/>
              </w:rPr>
            </w:pPr>
            <w:r>
              <w:rPr>
                <w:rFonts w:ascii="Arial Narrow" w:hAnsi="Arial Narrow"/>
                <w:b/>
                <w:bCs/>
                <w:color w:val="000000" w:themeColor="text1"/>
                <w:lang w:val="es-CO"/>
              </w:rPr>
              <w:t>Etapa Judicial - Aprobación del Acuerdo Conciliatori</w:t>
            </w:r>
            <w:r w:rsidR="007A7524">
              <w:rPr>
                <w:rFonts w:ascii="Arial Narrow" w:hAnsi="Arial Narrow"/>
                <w:b/>
                <w:bCs/>
                <w:color w:val="000000" w:themeColor="text1"/>
                <w:lang w:val="es-CO"/>
              </w:rPr>
              <w:t>o</w:t>
            </w:r>
          </w:p>
          <w:p w14:paraId="6A7E806E" w14:textId="77777777" w:rsidR="004E7601" w:rsidRDefault="004E7601" w:rsidP="004E7601">
            <w:pPr>
              <w:pStyle w:val="TableParagraph"/>
              <w:tabs>
                <w:tab w:val="left" w:pos="584"/>
              </w:tabs>
              <w:ind w:right="567"/>
              <w:jc w:val="both"/>
              <w:rPr>
                <w:rFonts w:ascii="Arial Narrow" w:hAnsi="Arial Narrow"/>
                <w:b/>
                <w:bCs/>
                <w:color w:val="000000" w:themeColor="text1"/>
                <w:lang w:val="es-CO"/>
              </w:rPr>
            </w:pPr>
          </w:p>
          <w:p w14:paraId="7E4D504C" w14:textId="77777777" w:rsidR="004E7601" w:rsidRPr="004E7601" w:rsidRDefault="004E7601" w:rsidP="004E7601">
            <w:pPr>
              <w:pStyle w:val="TableParagraph"/>
              <w:numPr>
                <w:ilvl w:val="1"/>
                <w:numId w:val="26"/>
              </w:numPr>
              <w:tabs>
                <w:tab w:val="left" w:pos="164"/>
              </w:tabs>
              <w:ind w:left="589" w:right="567" w:hanging="479"/>
              <w:jc w:val="both"/>
              <w:rPr>
                <w:rFonts w:ascii="Arial Narrow" w:hAnsi="Arial Narrow"/>
                <w:b/>
                <w:bCs/>
                <w:color w:val="000000" w:themeColor="text1"/>
                <w:lang w:val="es-CO"/>
              </w:rPr>
            </w:pPr>
            <w:r w:rsidRPr="004E7601">
              <w:rPr>
                <w:rFonts w:ascii="Arial Narrow" w:eastAsia="Calibri" w:hAnsi="Arial Narrow"/>
                <w:bCs/>
                <w:color w:val="000000"/>
                <w:lang w:val="es-CO"/>
              </w:rPr>
              <w:t xml:space="preserve">El 6 de junio de 2023 la Procuraduría 55 Judicial II para Asuntos Administrativos remitió a la oficina de reparto de la Rama Judicial, el acta de audiencia del 1 de junio de 2023. Por reparto el proceso fue asignado al Juzgado 35 Administrativo de la Sección Tercera del Circuito de Bogotá, bajo el radicado número 11001333603520230017000, sin </w:t>
            </w:r>
            <w:r w:rsidRPr="004E7601">
              <w:rPr>
                <w:rFonts w:ascii="Arial Narrow" w:eastAsia="Calibri" w:hAnsi="Arial Narrow"/>
                <w:bCs/>
                <w:color w:val="000000"/>
                <w:lang w:val="es-CO"/>
              </w:rPr>
              <w:lastRenderedPageBreak/>
              <w:t>embargo, el Juzgado 35 Administrativo de la Sección Tercera del Circuito de Bogotá declaró su falta de competencia para pronunciarse respecto al acuerdo conciliatorio en cuestión por el factor cuantía, disponiendo ordenar el envío del expediente a la Sección Tercera del Tribunal Administrativo de Cundinamarca.</w:t>
            </w:r>
          </w:p>
          <w:p w14:paraId="01C2A12A" w14:textId="77777777" w:rsidR="004E7601" w:rsidRPr="004E7601" w:rsidRDefault="004E7601" w:rsidP="004E7601">
            <w:pPr>
              <w:pStyle w:val="TableParagraph"/>
              <w:tabs>
                <w:tab w:val="left" w:pos="164"/>
              </w:tabs>
              <w:ind w:left="589" w:right="567" w:hanging="479"/>
              <w:jc w:val="both"/>
              <w:rPr>
                <w:rFonts w:ascii="Arial Narrow" w:hAnsi="Arial Narrow"/>
                <w:b/>
                <w:bCs/>
                <w:color w:val="000000" w:themeColor="text1"/>
                <w:lang w:val="es-CO"/>
              </w:rPr>
            </w:pPr>
          </w:p>
          <w:p w14:paraId="09AEDB6C" w14:textId="010A2C2C" w:rsidR="004E7601" w:rsidRPr="004E7601" w:rsidRDefault="004E7601" w:rsidP="004E7601">
            <w:pPr>
              <w:pStyle w:val="TableParagraph"/>
              <w:numPr>
                <w:ilvl w:val="1"/>
                <w:numId w:val="26"/>
              </w:numPr>
              <w:tabs>
                <w:tab w:val="left" w:pos="164"/>
              </w:tabs>
              <w:ind w:left="589" w:right="567" w:hanging="479"/>
              <w:jc w:val="both"/>
              <w:rPr>
                <w:rFonts w:ascii="Arial Narrow" w:hAnsi="Arial Narrow"/>
                <w:b/>
                <w:bCs/>
                <w:color w:val="000000" w:themeColor="text1"/>
                <w:lang w:val="es-CO"/>
              </w:rPr>
            </w:pPr>
            <w:r w:rsidRPr="004E7601">
              <w:rPr>
                <w:rFonts w:ascii="Arial Narrow" w:eastAsia="Calibri" w:hAnsi="Arial Narrow"/>
                <w:bCs/>
                <w:color w:val="000000"/>
                <w:lang w:val="es-CO"/>
              </w:rPr>
              <w:t xml:space="preserve">El expediente fue remitido a la Sección Tercera del Tribunal Administrativo de Cundinamarca, al despacho del Magistrado Fernando Iregui Camelo, bajo número de radicado 25000233600020230031800, quien a </w:t>
            </w:r>
            <w:r w:rsidRPr="004E7601">
              <w:rPr>
                <w:rFonts w:ascii="Arial Narrow" w:hAnsi="Arial Narrow"/>
              </w:rPr>
              <w:t xml:space="preserve">través de Auto del 19 de octubre de 2023 notificado por estado el día 17 de enero de 2024, el Tribunal Administrativo de Cundinamarca, al realizar el respectivo control de legalidad con base en los parámetros establecidos en la ley y la jurisprudencia, resolvió lo siguiente: </w:t>
            </w:r>
          </w:p>
          <w:p w14:paraId="14246DF7" w14:textId="77777777" w:rsidR="004E7601" w:rsidRDefault="004E7601" w:rsidP="004E7601">
            <w:pPr>
              <w:overflowPunct w:val="0"/>
              <w:adjustRightInd w:val="0"/>
              <w:ind w:left="589" w:right="-6" w:hanging="283"/>
              <w:jc w:val="both"/>
              <w:rPr>
                <w:rFonts w:ascii="Verdana" w:hAnsi="Verdana"/>
              </w:rPr>
            </w:pPr>
          </w:p>
          <w:p w14:paraId="549B6B41" w14:textId="77777777" w:rsidR="004E7601" w:rsidRDefault="004E7601" w:rsidP="004E7601">
            <w:pPr>
              <w:overflowPunct w:val="0"/>
              <w:adjustRightInd w:val="0"/>
              <w:ind w:left="1014" w:right="615"/>
              <w:jc w:val="both"/>
              <w:rPr>
                <w:rFonts w:ascii="Arial Narrow" w:hAnsi="Arial Narrow"/>
                <w:i/>
                <w:iCs/>
                <w:sz w:val="20"/>
                <w:szCs w:val="20"/>
              </w:rPr>
            </w:pPr>
            <w:r w:rsidRPr="00497C7B">
              <w:rPr>
                <w:rFonts w:ascii="Arial Narrow" w:hAnsi="Arial Narrow"/>
                <w:i/>
                <w:iCs/>
                <w:sz w:val="20"/>
                <w:szCs w:val="20"/>
              </w:rPr>
              <w:t>“IMPROBAR el acuerdo conciliatorio celebrado entre FIDUPREVISORA S.A. y FIDUCIARIA COLOMBIANA DE COMERCIO EXTERIOR S.A.– FIDUCOLDEX, integrantes del CONSORCIO SAYP 2011, Y LA ADMINISTRADORA DE LOS RECURSOS DEL SISTEMA GENERAL DE SEGURIDAD SOCIAL EN SALUD- ADRES”, de conformidad con la parte motiva de esta providencia.”</w:t>
            </w:r>
          </w:p>
          <w:p w14:paraId="696E843D" w14:textId="77777777" w:rsidR="004E7601" w:rsidRPr="00497C7B" w:rsidRDefault="004E7601" w:rsidP="004E7601">
            <w:pPr>
              <w:overflowPunct w:val="0"/>
              <w:adjustRightInd w:val="0"/>
              <w:ind w:left="589" w:right="615" w:hanging="283"/>
              <w:jc w:val="both"/>
              <w:rPr>
                <w:rFonts w:ascii="Arial Narrow" w:hAnsi="Arial Narrow"/>
                <w:i/>
                <w:iCs/>
                <w:sz w:val="20"/>
                <w:szCs w:val="20"/>
              </w:rPr>
            </w:pPr>
          </w:p>
          <w:p w14:paraId="4FD3FA04" w14:textId="77777777" w:rsidR="004E7601" w:rsidRPr="004E7601" w:rsidRDefault="004E7601" w:rsidP="004E7601">
            <w:pPr>
              <w:ind w:left="589" w:right="567"/>
              <w:jc w:val="both"/>
              <w:rPr>
                <w:rFonts w:ascii="Arial Narrow" w:eastAsia="Calibri" w:hAnsi="Arial Narrow"/>
                <w:bCs/>
                <w:color w:val="000000"/>
                <w:lang w:val="es-CO"/>
              </w:rPr>
            </w:pPr>
            <w:r w:rsidRPr="004E7601">
              <w:rPr>
                <w:rFonts w:ascii="Arial Narrow" w:eastAsia="Calibri" w:hAnsi="Arial Narrow"/>
                <w:bCs/>
                <w:color w:val="000000"/>
                <w:lang w:val="es-CO"/>
              </w:rPr>
              <w:t>El apoderado de las sociedades fiduciarias que integran el CONSORCIO SAYP 2011 EN LIQUIDACIÓN, FIDUPREVISORA S.A. y FIDUCOLDEX S.A., presentó recurso de apelación contra el auto de fecha 19 de octubre de 2023 proferido por el Tribunal Administrativo de Cundinamarca – Sección Tercera – Subsección C, a través de memorial radicado el 22 de enero del 2014.</w:t>
            </w:r>
          </w:p>
          <w:p w14:paraId="122B4DD6" w14:textId="77777777" w:rsidR="004E7601" w:rsidRDefault="004E7601" w:rsidP="004E7601">
            <w:pPr>
              <w:pStyle w:val="Prrafodelista"/>
              <w:ind w:left="589" w:right="567" w:hanging="283"/>
              <w:jc w:val="both"/>
              <w:rPr>
                <w:rFonts w:ascii="Arial Narrow" w:eastAsia="Calibri" w:hAnsi="Arial Narrow"/>
                <w:bCs/>
                <w:color w:val="000000"/>
                <w:lang w:val="es-CO"/>
              </w:rPr>
            </w:pPr>
          </w:p>
          <w:p w14:paraId="729CA1DA" w14:textId="77777777" w:rsidR="002B7E1E" w:rsidRDefault="004E7601" w:rsidP="002B7E1E">
            <w:pPr>
              <w:pStyle w:val="Prrafodelista"/>
              <w:numPr>
                <w:ilvl w:val="1"/>
                <w:numId w:val="26"/>
              </w:numPr>
              <w:ind w:left="589" w:right="567" w:hanging="425"/>
              <w:jc w:val="both"/>
              <w:rPr>
                <w:rFonts w:ascii="Arial Narrow" w:eastAsia="Calibri" w:hAnsi="Arial Narrow"/>
                <w:bCs/>
                <w:color w:val="000000"/>
                <w:lang w:val="es-CO"/>
              </w:rPr>
            </w:pPr>
            <w:r w:rsidRPr="002B7E1E">
              <w:rPr>
                <w:rFonts w:ascii="Arial Narrow" w:eastAsia="Calibri" w:hAnsi="Arial Narrow"/>
                <w:bCs/>
                <w:color w:val="000000"/>
                <w:lang w:val="es-CO"/>
              </w:rPr>
              <w:t>El 26 de abril del año 2024 el Tribunal Administrativo de Cundinamarca concedió el recurso de apelación y el 11 de julio fue remitido al Consejo de Estado para su conocimiento.</w:t>
            </w:r>
          </w:p>
          <w:p w14:paraId="215F483D" w14:textId="77777777" w:rsidR="002B7E1E" w:rsidRPr="002B7E1E" w:rsidRDefault="002B7E1E" w:rsidP="002B7E1E">
            <w:pPr>
              <w:pStyle w:val="Prrafodelista"/>
              <w:rPr>
                <w:rFonts w:ascii="Arial Narrow" w:eastAsia="Calibri" w:hAnsi="Arial Narrow"/>
                <w:bCs/>
                <w:color w:val="000000"/>
                <w:lang w:val="es-CO"/>
              </w:rPr>
            </w:pPr>
          </w:p>
          <w:p w14:paraId="172E3629" w14:textId="77777777" w:rsidR="002B7E1E" w:rsidRPr="002B7E1E" w:rsidRDefault="004E7601" w:rsidP="002B7E1E">
            <w:pPr>
              <w:pStyle w:val="Prrafodelista"/>
              <w:numPr>
                <w:ilvl w:val="1"/>
                <w:numId w:val="26"/>
              </w:numPr>
              <w:ind w:left="589" w:right="567" w:hanging="425"/>
              <w:jc w:val="both"/>
              <w:rPr>
                <w:rFonts w:ascii="Arial Narrow" w:eastAsia="Calibri" w:hAnsi="Arial Narrow"/>
                <w:bCs/>
                <w:color w:val="000000"/>
                <w:lang w:val="es-CO"/>
              </w:rPr>
            </w:pPr>
            <w:r w:rsidRPr="002B7E1E">
              <w:rPr>
                <w:rFonts w:ascii="Arial Narrow" w:eastAsia="Calibri" w:hAnsi="Arial Narrow"/>
                <w:bCs/>
                <w:color w:val="000000"/>
                <w:lang w:val="es-CO"/>
              </w:rPr>
              <w:t xml:space="preserve">La ADRES presentó memorial el 21 de agosto ante el Despacho, en donde solicitó confirmar el auto que improbó el acuerdo conciliatorio, para lo cual allegó el certificado del 21 de agosto de 2024 de la secretaría técnica del comité de conciliación de la Administradora de los Recursos del Sistema General de Seguridad Social en Salud – ADRES-, en el que indica que: </w:t>
            </w:r>
            <w:r w:rsidRPr="002B7E1E">
              <w:rPr>
                <w:rFonts w:ascii="Arial Narrow" w:eastAsia="Calibri" w:hAnsi="Arial Narrow"/>
                <w:bCs/>
                <w:i/>
                <w:iCs/>
                <w:color w:val="000000"/>
                <w:lang w:val="es-CO"/>
              </w:rPr>
              <w:t>“NO presentar fórmula en razón a que el acuerdo conciliatorio suscrito por la ADRES con el Consorcio SAYP 2011 aún no surte efectos a la vida jurídica, por encontrarse pendiente de homologación judicial y, en atención al carácter consensual de la conciliación como mecanismo autocompositivo, se considera viable desde el punto de vista jurídico presentar el desistimiento al acuerdo”.</w:t>
            </w:r>
          </w:p>
          <w:p w14:paraId="62E079D1" w14:textId="77777777" w:rsidR="002B7E1E" w:rsidRPr="002B7E1E" w:rsidRDefault="002B7E1E" w:rsidP="002B7E1E">
            <w:pPr>
              <w:pStyle w:val="Prrafodelista"/>
              <w:rPr>
                <w:rFonts w:ascii="Arial Narrow" w:eastAsia="Calibri" w:hAnsi="Arial Narrow"/>
                <w:bCs/>
                <w:color w:val="000000"/>
                <w:lang w:val="es-CO"/>
              </w:rPr>
            </w:pPr>
          </w:p>
          <w:p w14:paraId="475A02CB" w14:textId="49352737" w:rsidR="004E7601" w:rsidRPr="002B7E1E" w:rsidRDefault="004E7601" w:rsidP="002B7E1E">
            <w:pPr>
              <w:pStyle w:val="Prrafodelista"/>
              <w:numPr>
                <w:ilvl w:val="1"/>
                <w:numId w:val="26"/>
              </w:numPr>
              <w:ind w:left="589" w:right="567" w:hanging="425"/>
              <w:jc w:val="both"/>
              <w:rPr>
                <w:rFonts w:ascii="Arial Narrow" w:eastAsia="Calibri" w:hAnsi="Arial Narrow"/>
                <w:bCs/>
                <w:color w:val="000000"/>
                <w:lang w:val="es-CO"/>
              </w:rPr>
            </w:pPr>
            <w:r w:rsidRPr="002B7E1E">
              <w:rPr>
                <w:rFonts w:ascii="Arial Narrow" w:eastAsia="Calibri" w:hAnsi="Arial Narrow"/>
                <w:bCs/>
                <w:color w:val="000000"/>
                <w:lang w:val="es-CO"/>
              </w:rPr>
              <w:t>Mediante Auto del 08 de octubre hogaño, el Consejo de Estado se pronunció frente a la solicitud efectuada por la ADRES y determinó lo siguiente:</w:t>
            </w:r>
          </w:p>
          <w:p w14:paraId="6329F58B" w14:textId="77777777" w:rsidR="004E7601" w:rsidRPr="002003F6" w:rsidRDefault="004E7601" w:rsidP="004E7601">
            <w:pPr>
              <w:pStyle w:val="Prrafodelista"/>
              <w:ind w:left="589" w:hanging="283"/>
              <w:rPr>
                <w:rFonts w:ascii="Arial Narrow" w:eastAsia="Calibri" w:hAnsi="Arial Narrow"/>
                <w:bCs/>
                <w:color w:val="000000"/>
                <w:lang w:val="es-CO"/>
              </w:rPr>
            </w:pPr>
          </w:p>
          <w:p w14:paraId="5BBDC07E" w14:textId="77777777" w:rsidR="004E7601" w:rsidRPr="001276AD" w:rsidRDefault="004E7601" w:rsidP="002B7E1E">
            <w:pPr>
              <w:pStyle w:val="Prrafodelista"/>
              <w:ind w:left="1014" w:right="567"/>
              <w:jc w:val="both"/>
              <w:rPr>
                <w:rFonts w:ascii="Arial Narrow" w:eastAsia="Calibri" w:hAnsi="Arial Narrow"/>
                <w:bCs/>
                <w:i/>
                <w:iCs/>
                <w:color w:val="000000"/>
                <w:sz w:val="20"/>
                <w:szCs w:val="20"/>
                <w:lang w:val="es-CO"/>
              </w:rPr>
            </w:pPr>
            <w:r w:rsidRPr="001276AD">
              <w:rPr>
                <w:rFonts w:ascii="Arial Narrow" w:eastAsia="Calibri" w:hAnsi="Arial Narrow"/>
                <w:bCs/>
                <w:i/>
                <w:iCs/>
                <w:color w:val="000000"/>
                <w:sz w:val="20"/>
                <w:szCs w:val="20"/>
                <w:lang w:val="es-CO"/>
              </w:rPr>
              <w:t xml:space="preserve">“RESUELVE: </w:t>
            </w:r>
          </w:p>
          <w:p w14:paraId="794CCD53" w14:textId="77777777" w:rsidR="002B7E1E" w:rsidRDefault="002B7E1E" w:rsidP="002B7E1E">
            <w:pPr>
              <w:pStyle w:val="Prrafodelista"/>
              <w:ind w:left="1014" w:right="567"/>
              <w:jc w:val="both"/>
              <w:rPr>
                <w:rFonts w:ascii="Arial Narrow" w:eastAsia="Calibri" w:hAnsi="Arial Narrow"/>
                <w:bCs/>
                <w:i/>
                <w:iCs/>
                <w:color w:val="000000"/>
                <w:sz w:val="20"/>
                <w:szCs w:val="20"/>
                <w:lang w:val="es-CO"/>
              </w:rPr>
            </w:pPr>
          </w:p>
          <w:p w14:paraId="198E8A4D" w14:textId="37C41B01" w:rsidR="004E7601" w:rsidRPr="001276AD" w:rsidRDefault="004E7601" w:rsidP="002B7E1E">
            <w:pPr>
              <w:pStyle w:val="Prrafodelista"/>
              <w:ind w:left="1014" w:right="567"/>
              <w:jc w:val="both"/>
              <w:rPr>
                <w:rFonts w:ascii="Arial Narrow" w:eastAsia="Calibri" w:hAnsi="Arial Narrow"/>
                <w:bCs/>
                <w:i/>
                <w:iCs/>
                <w:color w:val="000000"/>
                <w:sz w:val="20"/>
                <w:szCs w:val="20"/>
                <w:lang w:val="es-CO"/>
              </w:rPr>
            </w:pPr>
            <w:r w:rsidRPr="001276AD">
              <w:rPr>
                <w:rFonts w:ascii="Arial Narrow" w:eastAsia="Calibri" w:hAnsi="Arial Narrow"/>
                <w:bCs/>
                <w:i/>
                <w:iCs/>
                <w:color w:val="000000"/>
                <w:sz w:val="20"/>
                <w:szCs w:val="20"/>
                <w:lang w:val="es-CO"/>
              </w:rPr>
              <w:t>PRIMERO: TERMINAR el trámite administrativo de conciliación extrajudicial iniciada ante la Procuraduría 55 Judicial II para asuntos administrativos de Bogotá.</w:t>
            </w:r>
          </w:p>
          <w:p w14:paraId="0C5C6E5D" w14:textId="77777777" w:rsidR="004E7601" w:rsidRPr="001276AD" w:rsidRDefault="004E7601" w:rsidP="002B7E1E">
            <w:pPr>
              <w:pStyle w:val="Prrafodelista"/>
              <w:ind w:left="1014" w:right="567"/>
              <w:jc w:val="both"/>
              <w:rPr>
                <w:rFonts w:ascii="Arial Narrow" w:eastAsia="Calibri" w:hAnsi="Arial Narrow"/>
                <w:bCs/>
                <w:i/>
                <w:iCs/>
                <w:color w:val="000000"/>
                <w:sz w:val="20"/>
                <w:szCs w:val="20"/>
                <w:lang w:val="es-CO"/>
              </w:rPr>
            </w:pPr>
          </w:p>
          <w:p w14:paraId="510296B6" w14:textId="77777777" w:rsidR="004E7601" w:rsidRPr="001276AD" w:rsidRDefault="004E7601" w:rsidP="002B7E1E">
            <w:pPr>
              <w:pStyle w:val="Prrafodelista"/>
              <w:ind w:left="1014" w:right="567"/>
              <w:jc w:val="both"/>
              <w:rPr>
                <w:rFonts w:ascii="Arial Narrow" w:eastAsia="Calibri" w:hAnsi="Arial Narrow"/>
                <w:bCs/>
                <w:i/>
                <w:iCs/>
                <w:color w:val="000000"/>
                <w:sz w:val="20"/>
                <w:szCs w:val="20"/>
                <w:lang w:val="es-CO"/>
              </w:rPr>
            </w:pPr>
            <w:r w:rsidRPr="001276AD">
              <w:rPr>
                <w:rFonts w:ascii="Arial Narrow" w:eastAsia="Calibri" w:hAnsi="Arial Narrow"/>
                <w:bCs/>
                <w:i/>
                <w:iCs/>
                <w:color w:val="000000"/>
                <w:sz w:val="20"/>
                <w:szCs w:val="20"/>
                <w:lang w:val="es-CO"/>
              </w:rPr>
              <w:t>SEGUNDO: DEVOLVER el expediente al Tribunal de origen, una vez ejecutoriada la presente providencia.”</w:t>
            </w:r>
          </w:p>
          <w:p w14:paraId="7AE3F3FD" w14:textId="77777777" w:rsidR="00B04A0B" w:rsidRDefault="00B04A0B" w:rsidP="00B04A0B">
            <w:pPr>
              <w:pStyle w:val="TableParagraph"/>
              <w:tabs>
                <w:tab w:val="left" w:pos="584"/>
              </w:tabs>
              <w:ind w:right="567"/>
              <w:jc w:val="both"/>
              <w:rPr>
                <w:rFonts w:ascii="Arial Narrow" w:hAnsi="Arial Narrow"/>
                <w:b/>
                <w:bCs/>
                <w:color w:val="000000" w:themeColor="text1"/>
                <w:lang w:val="es-CO"/>
              </w:rPr>
            </w:pPr>
          </w:p>
          <w:p w14:paraId="4E5E5307" w14:textId="403492EA" w:rsidR="009D509B" w:rsidRPr="007F2B6C" w:rsidRDefault="00FC1446" w:rsidP="001E3F61">
            <w:pPr>
              <w:pStyle w:val="TableParagraph"/>
              <w:numPr>
                <w:ilvl w:val="0"/>
                <w:numId w:val="2"/>
              </w:numPr>
              <w:tabs>
                <w:tab w:val="left" w:pos="584"/>
              </w:tabs>
              <w:ind w:left="836" w:right="567"/>
              <w:jc w:val="both"/>
              <w:rPr>
                <w:rFonts w:ascii="Arial Narrow" w:hAnsi="Arial Narrow"/>
                <w:b/>
                <w:bCs/>
                <w:color w:val="000000" w:themeColor="text1"/>
                <w:lang w:val="es-CO"/>
              </w:rPr>
            </w:pPr>
            <w:r w:rsidRPr="00DA5794">
              <w:rPr>
                <w:rFonts w:ascii="Arial Narrow" w:hAnsi="Arial Narrow"/>
                <w:b/>
                <w:bCs/>
                <w:color w:val="000000" w:themeColor="text1"/>
                <w:lang w:val="es-CO"/>
              </w:rPr>
              <w:t>Problema</w:t>
            </w:r>
            <w:r w:rsidR="009D509B" w:rsidRPr="007F2B6C">
              <w:rPr>
                <w:rFonts w:ascii="Arial Narrow" w:hAnsi="Arial Narrow"/>
                <w:b/>
                <w:bCs/>
                <w:color w:val="000000" w:themeColor="text1"/>
                <w:lang w:val="es-CO"/>
              </w:rPr>
              <w:t xml:space="preserve"> Jurídico</w:t>
            </w:r>
          </w:p>
          <w:p w14:paraId="13A4060B" w14:textId="77777777" w:rsidR="009D509B" w:rsidRPr="007F2B6C" w:rsidRDefault="009D509B" w:rsidP="007F2B6C">
            <w:pPr>
              <w:pStyle w:val="TableParagraph"/>
              <w:tabs>
                <w:tab w:val="left" w:pos="584"/>
              </w:tabs>
              <w:ind w:left="567" w:right="567"/>
              <w:jc w:val="both"/>
              <w:rPr>
                <w:rFonts w:ascii="Arial Narrow" w:hAnsi="Arial Narrow"/>
                <w:color w:val="000000" w:themeColor="text1"/>
                <w:lang w:val="es-CO"/>
              </w:rPr>
            </w:pPr>
          </w:p>
          <w:p w14:paraId="5AEEDE1F" w14:textId="77777777" w:rsidR="0005130F" w:rsidRDefault="00A144E4" w:rsidP="0005130F">
            <w:pPr>
              <w:pStyle w:val="TableParagraph"/>
              <w:tabs>
                <w:tab w:val="left" w:pos="584"/>
              </w:tabs>
              <w:ind w:left="476" w:right="567"/>
              <w:jc w:val="both"/>
              <w:rPr>
                <w:rFonts w:ascii="Arial Narrow" w:hAnsi="Arial Narrow"/>
                <w:color w:val="000000" w:themeColor="text1"/>
                <w:lang w:val="es-CO"/>
              </w:rPr>
            </w:pPr>
            <w:r w:rsidRPr="00AF5585">
              <w:rPr>
                <w:rFonts w:ascii="Arial Narrow" w:hAnsi="Arial Narrow"/>
                <w:color w:val="000000" w:themeColor="text1"/>
              </w:rPr>
              <w:t>¿Es procedente la mediación entre las entidades</w:t>
            </w:r>
            <w:r>
              <w:rPr>
                <w:rFonts w:ascii="Arial Narrow" w:hAnsi="Arial Narrow"/>
                <w:color w:val="000000" w:themeColor="text1"/>
              </w:rPr>
              <w:t xml:space="preserve"> </w:t>
            </w:r>
            <w:r w:rsidRPr="00AF5585">
              <w:rPr>
                <w:rFonts w:ascii="Arial Narrow" w:eastAsia="Calibri" w:hAnsi="Arial Narrow"/>
                <w:bCs/>
                <w:color w:val="000000"/>
                <w:lang w:val="es-CO"/>
              </w:rPr>
              <w:t>FIDUPREVISORA S.A. y FIDUCIARIA COLOMBIANA DE COMERCIO EXTERIOR S.A.–</w:t>
            </w:r>
            <w:r>
              <w:rPr>
                <w:rFonts w:ascii="Arial Narrow" w:eastAsia="Calibri" w:hAnsi="Arial Narrow"/>
                <w:bCs/>
                <w:color w:val="000000"/>
                <w:lang w:val="es-CO"/>
              </w:rPr>
              <w:t xml:space="preserve"> </w:t>
            </w:r>
            <w:r w:rsidRPr="00AF5585">
              <w:rPr>
                <w:rFonts w:ascii="Arial Narrow" w:eastAsia="Calibri" w:hAnsi="Arial Narrow"/>
                <w:bCs/>
                <w:color w:val="000000"/>
                <w:lang w:val="es-CO"/>
              </w:rPr>
              <w:t>FIDUCOLDEX integrantes del CONSORCIO SAYP 2011 y la ADMINISTRADORA DE LOS RECURSOS DEL SISTEMA GENERAL DE SEGURIDAD SOCIAL EN SALUD (ADRES), en relación con la</w:t>
            </w:r>
            <w:r w:rsidR="003132C8">
              <w:rPr>
                <w:rFonts w:ascii="Arial Narrow" w:eastAsia="Calibri" w:hAnsi="Arial Narrow"/>
                <w:bCs/>
                <w:color w:val="000000"/>
                <w:lang w:val="es-CO"/>
              </w:rPr>
              <w:t xml:space="preserve"> expedición de las </w:t>
            </w:r>
            <w:r w:rsidR="005428EE">
              <w:rPr>
                <w:rFonts w:ascii="Arial Narrow" w:eastAsia="Calibri" w:hAnsi="Arial Narrow"/>
                <w:bCs/>
                <w:color w:val="000000"/>
                <w:lang w:val="es-CO"/>
              </w:rPr>
              <w:t xml:space="preserve">resoluciones No. </w:t>
            </w:r>
            <w:r w:rsidR="005C5836" w:rsidRPr="005C5836">
              <w:rPr>
                <w:rFonts w:ascii="Arial Narrow" w:hAnsi="Arial Narrow"/>
                <w:color w:val="000000" w:themeColor="text1"/>
                <w:lang w:val="es-CO"/>
              </w:rPr>
              <w:t>544 de 2021</w:t>
            </w:r>
            <w:r w:rsidR="005428EE">
              <w:rPr>
                <w:rFonts w:ascii="Arial Narrow" w:hAnsi="Arial Narrow"/>
                <w:color w:val="000000" w:themeColor="text1"/>
                <w:lang w:val="es-CO"/>
              </w:rPr>
              <w:t xml:space="preserve"> y </w:t>
            </w:r>
            <w:r w:rsidR="005C5836">
              <w:rPr>
                <w:rFonts w:ascii="Arial Narrow" w:hAnsi="Arial Narrow"/>
                <w:color w:val="000000" w:themeColor="text1"/>
                <w:lang w:val="es-CO"/>
              </w:rPr>
              <w:t xml:space="preserve"> </w:t>
            </w:r>
            <w:r w:rsidR="005428EE">
              <w:rPr>
                <w:rFonts w:ascii="Arial Narrow" w:hAnsi="Arial Narrow"/>
                <w:color w:val="000000" w:themeColor="text1"/>
                <w:lang w:val="es-CO"/>
              </w:rPr>
              <w:t xml:space="preserve">No. </w:t>
            </w:r>
            <w:r w:rsidR="002553B6">
              <w:rPr>
                <w:rFonts w:ascii="Arial Narrow" w:hAnsi="Arial Narrow"/>
                <w:color w:val="000000" w:themeColor="text1"/>
                <w:lang w:val="es-CO"/>
              </w:rPr>
              <w:t xml:space="preserve">609 DE 2021 </w:t>
            </w:r>
            <w:r w:rsidR="0053610B">
              <w:rPr>
                <w:rFonts w:ascii="Arial Narrow" w:hAnsi="Arial Narrow"/>
                <w:color w:val="000000" w:themeColor="text1"/>
                <w:lang w:val="es-CO"/>
              </w:rPr>
              <w:t>que liquidaron</w:t>
            </w:r>
            <w:r w:rsidR="002553B6">
              <w:rPr>
                <w:rFonts w:ascii="Arial Narrow" w:hAnsi="Arial Narrow"/>
                <w:color w:val="000000" w:themeColor="text1"/>
                <w:lang w:val="es-CO"/>
              </w:rPr>
              <w:t xml:space="preserve"> </w:t>
            </w:r>
            <w:r w:rsidR="005C5836">
              <w:rPr>
                <w:rFonts w:ascii="Arial Narrow" w:hAnsi="Arial Narrow"/>
                <w:color w:val="000000" w:themeColor="text1"/>
                <w:lang w:val="es-CO"/>
              </w:rPr>
              <w:t>unilateralmente el C</w:t>
            </w:r>
            <w:r w:rsidR="00742722">
              <w:rPr>
                <w:rFonts w:ascii="Arial Narrow" w:hAnsi="Arial Narrow"/>
                <w:color w:val="000000" w:themeColor="text1"/>
                <w:lang w:val="es-CO"/>
              </w:rPr>
              <w:t xml:space="preserve">ontrato </w:t>
            </w:r>
            <w:r w:rsidR="00947114">
              <w:rPr>
                <w:rFonts w:ascii="Arial Narrow" w:hAnsi="Arial Narrow"/>
                <w:color w:val="000000" w:themeColor="text1"/>
                <w:lang w:val="es-CO"/>
              </w:rPr>
              <w:t>467 de 2011</w:t>
            </w:r>
            <w:r w:rsidR="002667CC">
              <w:rPr>
                <w:rFonts w:ascii="Arial Narrow" w:hAnsi="Arial Narrow"/>
                <w:color w:val="000000" w:themeColor="text1"/>
                <w:lang w:val="es-CO"/>
              </w:rPr>
              <w:t xml:space="preserve"> </w:t>
            </w:r>
            <w:r w:rsidR="0005130F">
              <w:rPr>
                <w:rFonts w:ascii="Arial Narrow" w:hAnsi="Arial Narrow"/>
                <w:color w:val="000000" w:themeColor="text1"/>
                <w:lang w:val="es-CO"/>
              </w:rPr>
              <w:t>y en donde se ordenó</w:t>
            </w:r>
            <w:r w:rsidR="005C55B6" w:rsidRPr="005C55B6">
              <w:rPr>
                <w:rFonts w:ascii="Arial Narrow" w:hAnsi="Arial Narrow"/>
                <w:color w:val="000000" w:themeColor="text1"/>
                <w:lang w:val="es-CO"/>
              </w:rPr>
              <w:t xml:space="preserve"> a</w:t>
            </w:r>
            <w:r w:rsidR="005C55B6">
              <w:rPr>
                <w:rFonts w:ascii="Arial Narrow" w:hAnsi="Arial Narrow"/>
                <w:color w:val="000000" w:themeColor="text1"/>
                <w:lang w:val="es-CO"/>
              </w:rPr>
              <w:t xml:space="preserve"> la demandante </w:t>
            </w:r>
            <w:r w:rsidR="005C55B6" w:rsidRPr="005C55B6">
              <w:rPr>
                <w:rFonts w:ascii="Arial Narrow" w:hAnsi="Arial Narrow"/>
                <w:color w:val="000000" w:themeColor="text1"/>
                <w:lang w:val="es-CO"/>
              </w:rPr>
              <w:t>el reintegro de</w:t>
            </w:r>
            <w:r w:rsidR="004A0423">
              <w:rPr>
                <w:rFonts w:ascii="Arial Narrow" w:hAnsi="Arial Narrow"/>
                <w:color w:val="000000" w:themeColor="text1"/>
                <w:lang w:val="es-CO"/>
              </w:rPr>
              <w:t xml:space="preserve"> la suma de</w:t>
            </w:r>
            <w:r w:rsidR="005C55B6" w:rsidRPr="005C55B6">
              <w:rPr>
                <w:rFonts w:ascii="Arial Narrow" w:hAnsi="Arial Narrow"/>
                <w:color w:val="000000" w:themeColor="text1"/>
                <w:lang w:val="es-CO"/>
              </w:rPr>
              <w:t xml:space="preserve"> $1.340.156.845 </w:t>
            </w:r>
            <w:r w:rsidR="0005130F">
              <w:rPr>
                <w:rFonts w:ascii="Arial Narrow" w:hAnsi="Arial Narrow"/>
                <w:color w:val="000000" w:themeColor="text1"/>
                <w:lang w:val="es-CO"/>
              </w:rPr>
              <w:t xml:space="preserve">y se </w:t>
            </w:r>
            <w:r w:rsidR="003132C8">
              <w:rPr>
                <w:rFonts w:ascii="Arial Narrow" w:hAnsi="Arial Narrow"/>
                <w:color w:val="000000" w:themeColor="text1"/>
                <w:lang w:val="es-CO"/>
              </w:rPr>
              <w:t xml:space="preserve"> </w:t>
            </w:r>
            <w:r w:rsidR="005C55B6" w:rsidRPr="005C55B6">
              <w:rPr>
                <w:rFonts w:ascii="Arial Narrow" w:hAnsi="Arial Narrow"/>
                <w:color w:val="000000" w:themeColor="text1"/>
                <w:lang w:val="es-CO"/>
              </w:rPr>
              <w:t xml:space="preserve">dispuso </w:t>
            </w:r>
            <w:r w:rsidR="005E7CFC">
              <w:rPr>
                <w:rFonts w:ascii="Arial Narrow" w:hAnsi="Arial Narrow"/>
                <w:color w:val="000000" w:themeColor="text1"/>
                <w:lang w:val="es-CO"/>
              </w:rPr>
              <w:t xml:space="preserve">que respondiera </w:t>
            </w:r>
            <w:r w:rsidR="005C55B6" w:rsidRPr="005C55B6">
              <w:rPr>
                <w:rFonts w:ascii="Arial Narrow" w:hAnsi="Arial Narrow"/>
                <w:color w:val="000000" w:themeColor="text1"/>
                <w:lang w:val="es-CO"/>
              </w:rPr>
              <w:t>por los perjuicios</w:t>
            </w:r>
            <w:r w:rsidR="005E7CFC">
              <w:rPr>
                <w:rFonts w:ascii="Arial Narrow" w:hAnsi="Arial Narrow"/>
                <w:color w:val="000000" w:themeColor="text1"/>
                <w:lang w:val="es-CO"/>
              </w:rPr>
              <w:t xml:space="preserve"> ocasionados a esta Entidad </w:t>
            </w:r>
            <w:r w:rsidR="005C55B6" w:rsidRPr="005C55B6">
              <w:rPr>
                <w:rFonts w:ascii="Arial Narrow" w:hAnsi="Arial Narrow"/>
                <w:color w:val="000000" w:themeColor="text1"/>
                <w:lang w:val="es-CO"/>
              </w:rPr>
              <w:t>por la pérdida de imágenes de recobros y reclamaciones</w:t>
            </w:r>
            <w:r w:rsidR="005E7CFC">
              <w:rPr>
                <w:rFonts w:ascii="Arial Narrow" w:hAnsi="Arial Narrow"/>
                <w:color w:val="000000" w:themeColor="text1"/>
                <w:lang w:val="es-CO"/>
              </w:rPr>
              <w:t>?</w:t>
            </w:r>
            <w:r w:rsidR="00CE2747">
              <w:rPr>
                <w:rFonts w:ascii="Arial Narrow" w:hAnsi="Arial Narrow"/>
                <w:color w:val="000000" w:themeColor="text1"/>
                <w:lang w:val="es-CO"/>
              </w:rPr>
              <w:t>.</w:t>
            </w:r>
          </w:p>
          <w:p w14:paraId="6B536122" w14:textId="77777777" w:rsidR="0005130F" w:rsidRDefault="0005130F" w:rsidP="0005130F">
            <w:pPr>
              <w:pStyle w:val="TableParagraph"/>
              <w:tabs>
                <w:tab w:val="left" w:pos="584"/>
              </w:tabs>
              <w:ind w:left="476" w:right="567"/>
              <w:jc w:val="both"/>
              <w:rPr>
                <w:rFonts w:ascii="Arial Narrow" w:hAnsi="Arial Narrow"/>
                <w:color w:val="000000" w:themeColor="text1"/>
                <w:lang w:val="es-CO"/>
              </w:rPr>
            </w:pPr>
          </w:p>
          <w:p w14:paraId="5FF3B774" w14:textId="18CC2926" w:rsidR="0074361B" w:rsidRPr="0005130F" w:rsidRDefault="00CE2747" w:rsidP="0005130F">
            <w:pPr>
              <w:pStyle w:val="TableParagraph"/>
              <w:tabs>
                <w:tab w:val="left" w:pos="584"/>
              </w:tabs>
              <w:ind w:left="476" w:right="567"/>
              <w:jc w:val="both"/>
              <w:rPr>
                <w:rFonts w:ascii="Arial Narrow" w:hAnsi="Arial Narrow"/>
                <w:color w:val="000000" w:themeColor="text1"/>
                <w:lang w:val="es-CO"/>
              </w:rPr>
            </w:pPr>
            <w:r>
              <w:rPr>
                <w:rFonts w:ascii="Arial Narrow" w:hAnsi="Arial Narrow"/>
                <w:color w:val="000000" w:themeColor="text1"/>
                <w:lang w:val="es-CO"/>
              </w:rPr>
              <w:t xml:space="preserve">Lo anterior, </w:t>
            </w:r>
            <w:r w:rsidR="002553B6">
              <w:rPr>
                <w:rFonts w:ascii="Arial Narrow" w:hAnsi="Arial Narrow"/>
                <w:color w:val="000000" w:themeColor="text1"/>
                <w:lang w:val="es-CO"/>
              </w:rPr>
              <w:t xml:space="preserve">teniendo en cuenta que el presente asunto ya fue </w:t>
            </w:r>
            <w:r>
              <w:rPr>
                <w:rFonts w:ascii="Arial Narrow" w:hAnsi="Arial Narrow"/>
                <w:color w:val="000000" w:themeColor="text1"/>
                <w:lang w:val="es-CO"/>
              </w:rPr>
              <w:t>objeto de estudio por parte d</w:t>
            </w:r>
            <w:r w:rsidR="002553B6">
              <w:rPr>
                <w:rFonts w:ascii="Arial Narrow" w:hAnsi="Arial Narrow"/>
                <w:color w:val="000000" w:themeColor="text1"/>
                <w:lang w:val="es-CO"/>
              </w:rPr>
              <w:t xml:space="preserve">el Comité de Conciliación en </w:t>
            </w:r>
            <w:r w:rsidR="004C4540">
              <w:rPr>
                <w:rFonts w:ascii="Arial Narrow" w:hAnsi="Arial Narrow"/>
                <w:color w:val="000000" w:themeColor="text1"/>
                <w:lang w:val="es-CO"/>
              </w:rPr>
              <w:t>s</w:t>
            </w:r>
            <w:r w:rsidR="002553B6">
              <w:rPr>
                <w:rFonts w:ascii="Arial Narrow" w:hAnsi="Arial Narrow"/>
                <w:color w:val="000000" w:themeColor="text1"/>
                <w:lang w:val="es-CO"/>
              </w:rPr>
              <w:t xml:space="preserve">esión </w:t>
            </w:r>
            <w:r w:rsidR="004C4540">
              <w:rPr>
                <w:rFonts w:ascii="Arial Narrow" w:hAnsi="Arial Narrow"/>
                <w:color w:val="000000" w:themeColor="text1"/>
                <w:lang w:val="es-CO"/>
              </w:rPr>
              <w:t>e</w:t>
            </w:r>
            <w:r w:rsidR="002553B6">
              <w:rPr>
                <w:rFonts w:ascii="Arial Narrow" w:hAnsi="Arial Narrow"/>
                <w:color w:val="000000" w:themeColor="text1"/>
                <w:lang w:val="es-CO"/>
              </w:rPr>
              <w:t>xtraordinaria</w:t>
            </w:r>
            <w:r w:rsidR="00305150">
              <w:rPr>
                <w:rFonts w:ascii="Arial Narrow" w:hAnsi="Arial Narrow"/>
                <w:color w:val="000000" w:themeColor="text1"/>
                <w:lang w:val="es-CO"/>
              </w:rPr>
              <w:t xml:space="preserve"> No.</w:t>
            </w:r>
            <w:r w:rsidR="002553B6">
              <w:rPr>
                <w:rFonts w:ascii="Arial Narrow" w:hAnsi="Arial Narrow"/>
                <w:color w:val="000000" w:themeColor="text1"/>
                <w:lang w:val="es-CO"/>
              </w:rPr>
              <w:t xml:space="preserve"> 168 de</w:t>
            </w:r>
            <w:r w:rsidR="00BD17C7">
              <w:rPr>
                <w:rFonts w:ascii="Arial Narrow" w:hAnsi="Arial Narrow"/>
                <w:color w:val="000000" w:themeColor="text1"/>
                <w:lang w:val="es-CO"/>
              </w:rPr>
              <w:t xml:space="preserve">l 31 de mayo de </w:t>
            </w:r>
            <w:r w:rsidR="002553B6">
              <w:rPr>
                <w:rFonts w:ascii="Arial Narrow" w:hAnsi="Arial Narrow"/>
                <w:color w:val="000000" w:themeColor="text1"/>
                <w:lang w:val="es-CO"/>
              </w:rPr>
              <w:t xml:space="preserve">2024 que </w:t>
            </w:r>
            <w:r w:rsidR="000D119A">
              <w:rPr>
                <w:rFonts w:ascii="Arial Narrow" w:hAnsi="Arial Narrow"/>
                <w:color w:val="000000" w:themeColor="text1"/>
                <w:lang w:val="es-CO"/>
              </w:rPr>
              <w:t xml:space="preserve">modificó la recomendación </w:t>
            </w:r>
            <w:r w:rsidR="00305150">
              <w:rPr>
                <w:rFonts w:ascii="Arial Narrow" w:hAnsi="Arial Narrow"/>
                <w:color w:val="000000" w:themeColor="text1"/>
                <w:lang w:val="es-CO"/>
              </w:rPr>
              <w:t xml:space="preserve">de </w:t>
            </w:r>
            <w:r w:rsidR="00A60EEC">
              <w:rPr>
                <w:rFonts w:ascii="Arial Narrow" w:hAnsi="Arial Narrow"/>
                <w:color w:val="000000" w:themeColor="text1"/>
                <w:lang w:val="es-CO"/>
              </w:rPr>
              <w:t>fórmula</w:t>
            </w:r>
            <w:r w:rsidR="00305150">
              <w:rPr>
                <w:rFonts w:ascii="Arial Narrow" w:hAnsi="Arial Narrow"/>
                <w:color w:val="000000" w:themeColor="text1"/>
                <w:lang w:val="es-CO"/>
              </w:rPr>
              <w:t xml:space="preserve"> conciliatoria adoptada </w:t>
            </w:r>
            <w:r w:rsidR="00305150">
              <w:rPr>
                <w:rFonts w:ascii="Arial Narrow" w:hAnsi="Arial Narrow"/>
                <w:color w:val="000000" w:themeColor="text1"/>
                <w:lang w:val="es-CO"/>
              </w:rPr>
              <w:lastRenderedPageBreak/>
              <w:t>en sesión</w:t>
            </w:r>
            <w:r w:rsidR="004C4540">
              <w:rPr>
                <w:rFonts w:ascii="Arial Narrow" w:hAnsi="Arial Narrow"/>
                <w:color w:val="000000" w:themeColor="text1"/>
                <w:lang w:val="es-CO"/>
              </w:rPr>
              <w:t xml:space="preserve"> extraordinaria</w:t>
            </w:r>
            <w:r w:rsidR="00305150">
              <w:rPr>
                <w:rFonts w:ascii="Arial Narrow" w:hAnsi="Arial Narrow"/>
                <w:color w:val="000000" w:themeColor="text1"/>
                <w:lang w:val="es-CO"/>
              </w:rPr>
              <w:t xml:space="preserve"> No.</w:t>
            </w:r>
            <w:r w:rsidR="000D119A">
              <w:rPr>
                <w:rFonts w:ascii="Arial Narrow" w:hAnsi="Arial Narrow"/>
                <w:color w:val="000000" w:themeColor="text1"/>
                <w:lang w:val="es-CO"/>
              </w:rPr>
              <w:t xml:space="preserve"> </w:t>
            </w:r>
            <w:r w:rsidRPr="00454A18">
              <w:rPr>
                <w:rFonts w:ascii="Arial Narrow" w:hAnsi="Arial Narrow"/>
              </w:rPr>
              <w:t>121 del 29 de noviembre de 2022</w:t>
            </w:r>
            <w:r w:rsidR="002C7F6B">
              <w:rPr>
                <w:rFonts w:ascii="Arial Narrow" w:hAnsi="Arial Narrow"/>
              </w:rPr>
              <w:t>.</w:t>
            </w:r>
          </w:p>
          <w:p w14:paraId="3F62ACFC" w14:textId="77777777" w:rsidR="0074361B" w:rsidRDefault="0074361B" w:rsidP="0074361B">
            <w:pPr>
              <w:pStyle w:val="TableParagraph"/>
              <w:tabs>
                <w:tab w:val="left" w:pos="584"/>
              </w:tabs>
              <w:ind w:left="476" w:right="567"/>
              <w:jc w:val="both"/>
              <w:rPr>
                <w:rFonts w:ascii="Arial Narrow" w:hAnsi="Arial Narrow"/>
              </w:rPr>
            </w:pPr>
          </w:p>
          <w:p w14:paraId="32B5D006" w14:textId="77777777" w:rsidR="0074361B" w:rsidRPr="0074361B" w:rsidRDefault="0074361B" w:rsidP="0074361B">
            <w:pPr>
              <w:pStyle w:val="TableParagraph"/>
              <w:numPr>
                <w:ilvl w:val="0"/>
                <w:numId w:val="2"/>
              </w:numPr>
              <w:tabs>
                <w:tab w:val="left" w:pos="584"/>
              </w:tabs>
              <w:ind w:right="567"/>
              <w:jc w:val="both"/>
              <w:rPr>
                <w:rFonts w:ascii="Arial Narrow" w:hAnsi="Arial Narrow"/>
                <w:color w:val="000000" w:themeColor="text1"/>
              </w:rPr>
            </w:pPr>
            <w:r w:rsidRPr="0074361B">
              <w:rPr>
                <w:rFonts w:ascii="Arial Narrow" w:hAnsi="Arial Narrow" w:cs="Calibri"/>
                <w:b/>
                <w:lang w:val="es-CO"/>
              </w:rPr>
              <w:t xml:space="preserve">Análisis </w:t>
            </w:r>
            <w:r>
              <w:rPr>
                <w:rFonts w:ascii="Arial Narrow" w:hAnsi="Arial Narrow" w:cs="Calibri"/>
                <w:b/>
                <w:lang w:val="es-CO"/>
              </w:rPr>
              <w:t>de</w:t>
            </w:r>
            <w:r w:rsidRPr="0074361B">
              <w:rPr>
                <w:rFonts w:ascii="Arial Narrow" w:hAnsi="Arial Narrow" w:cs="Calibri"/>
                <w:b/>
                <w:lang w:val="es-CO"/>
              </w:rPr>
              <w:t>l Caso Concreto</w:t>
            </w:r>
          </w:p>
          <w:p w14:paraId="1C846242" w14:textId="77777777" w:rsidR="0074361B" w:rsidRDefault="0074361B" w:rsidP="0074361B">
            <w:pPr>
              <w:pStyle w:val="TableParagraph"/>
              <w:tabs>
                <w:tab w:val="left" w:pos="584"/>
              </w:tabs>
              <w:ind w:left="720" w:right="567"/>
              <w:jc w:val="both"/>
              <w:rPr>
                <w:rFonts w:ascii="Arial Narrow" w:hAnsi="Arial Narrow"/>
                <w:color w:val="000000" w:themeColor="text1"/>
              </w:rPr>
            </w:pPr>
          </w:p>
          <w:p w14:paraId="03BF75FA" w14:textId="514C1BA6" w:rsidR="0074361B" w:rsidRPr="0074361B" w:rsidRDefault="0074361B" w:rsidP="0074361B">
            <w:pPr>
              <w:pStyle w:val="TableParagraph"/>
              <w:numPr>
                <w:ilvl w:val="1"/>
                <w:numId w:val="31"/>
              </w:numPr>
              <w:tabs>
                <w:tab w:val="left" w:pos="584"/>
              </w:tabs>
              <w:ind w:right="567"/>
              <w:jc w:val="both"/>
              <w:rPr>
                <w:rFonts w:ascii="Arial Narrow" w:hAnsi="Arial Narrow"/>
                <w:b/>
                <w:bCs/>
                <w:color w:val="000000" w:themeColor="text1"/>
              </w:rPr>
            </w:pPr>
            <w:r w:rsidRPr="0074361B">
              <w:rPr>
                <w:rFonts w:ascii="Arial Narrow" w:eastAsia="Cambria Math" w:hAnsi="Arial Narrow" w:cs="Cambria Math"/>
                <w:b/>
                <w:bCs/>
              </w:rPr>
              <w:t xml:space="preserve">Antecedentes del caso </w:t>
            </w:r>
          </w:p>
          <w:p w14:paraId="631DA560" w14:textId="77777777" w:rsidR="0074361B" w:rsidRDefault="0074361B" w:rsidP="0074361B">
            <w:pPr>
              <w:pStyle w:val="Prrafodelista"/>
              <w:tabs>
                <w:tab w:val="left" w:pos="584"/>
              </w:tabs>
              <w:ind w:left="360" w:right="545"/>
              <w:jc w:val="both"/>
              <w:rPr>
                <w:rFonts w:ascii="Arial Narrow" w:eastAsia="Cambria Math" w:hAnsi="Arial Narrow" w:cs="Cambria Math"/>
                <w:b/>
                <w:bCs/>
              </w:rPr>
            </w:pPr>
          </w:p>
          <w:p w14:paraId="035E3E81" w14:textId="0D12879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Mediante contrato de encargo fiduciario </w:t>
            </w:r>
            <w:r>
              <w:rPr>
                <w:rFonts w:ascii="Arial Narrow" w:hAnsi="Arial Narrow"/>
                <w:lang w:val="es-CO"/>
              </w:rPr>
              <w:t xml:space="preserve">No. </w:t>
            </w:r>
            <w:r w:rsidRPr="00C577BA">
              <w:rPr>
                <w:rFonts w:ascii="Arial Narrow" w:hAnsi="Arial Narrow"/>
                <w:lang w:val="es-CO"/>
              </w:rPr>
              <w:t xml:space="preserve">467, suscrito el 23 de septiembre de 2011, el </w:t>
            </w:r>
            <w:bookmarkStart w:id="0" w:name="_Hlk104903852"/>
            <w:r w:rsidRPr="00C577BA">
              <w:rPr>
                <w:rFonts w:ascii="Arial Narrow" w:hAnsi="Arial Narrow"/>
                <w:lang w:val="es-CO"/>
              </w:rPr>
              <w:t>Consorcio SAYP</w:t>
            </w:r>
            <w:bookmarkEnd w:id="0"/>
            <w:r w:rsidRPr="00C577BA">
              <w:rPr>
                <w:rFonts w:ascii="Arial Narrow" w:hAnsi="Arial Narrow"/>
                <w:lang w:val="es-CO"/>
              </w:rPr>
              <w:t xml:space="preserve"> (conformado por la </w:t>
            </w:r>
            <w:r w:rsidRPr="00BE1991">
              <w:rPr>
                <w:rFonts w:ascii="Arial Narrow" w:hAnsi="Arial Narrow"/>
              </w:rPr>
              <w:t>FIDUPREVISORA</w:t>
            </w:r>
            <w:r w:rsidRPr="00C577BA">
              <w:rPr>
                <w:rFonts w:ascii="Arial Narrow" w:hAnsi="Arial Narrow"/>
                <w:lang w:val="es-CO"/>
              </w:rPr>
              <w:t xml:space="preserve"> S.A. y FIDUCOLDEX S.A.) se comprometió con el entonces Ministerio de Protección Social a realizar el recaudo, administración y pago de los recursos del Fondo de Solidaridad y Garantía (FOSYGA) del Sistema General de Seguridad Social en Salud. La ejecución del contrato inició el 03 de octubre de 2011 y se prorrogó hasta el 31 de julio de 2017.</w:t>
            </w:r>
          </w:p>
          <w:p w14:paraId="51907A2F" w14:textId="77777777" w:rsidR="0074361B" w:rsidRPr="00C577BA" w:rsidRDefault="0074361B" w:rsidP="0074361B">
            <w:pPr>
              <w:ind w:left="567" w:right="567"/>
              <w:jc w:val="both"/>
              <w:rPr>
                <w:rFonts w:ascii="Arial Narrow" w:hAnsi="Arial Narrow"/>
                <w:lang w:val="es-CO"/>
              </w:rPr>
            </w:pPr>
          </w:p>
          <w:p w14:paraId="2EAC3411" w14:textId="77777777" w:rsidR="0074361B" w:rsidRPr="00C577BA" w:rsidRDefault="0074361B" w:rsidP="0074361B">
            <w:pPr>
              <w:pStyle w:val="Prrafodelista"/>
              <w:tabs>
                <w:tab w:val="left" w:pos="584"/>
              </w:tabs>
              <w:ind w:left="440" w:right="545"/>
              <w:jc w:val="both"/>
              <w:rPr>
                <w:rFonts w:ascii="Arial Narrow" w:hAnsi="Arial Narrow" w:cs="Times New Roman"/>
                <w:lang w:val="es-CO"/>
              </w:rPr>
            </w:pPr>
            <w:r w:rsidRPr="00C577BA">
              <w:rPr>
                <w:rFonts w:ascii="Arial Narrow" w:hAnsi="Arial Narrow"/>
                <w:lang w:val="es-CO"/>
              </w:rPr>
              <w:t xml:space="preserve">En vista del volumen de las operaciones a desarrollar y el valor del contrato de encargo fiduciario </w:t>
            </w:r>
            <w:r>
              <w:rPr>
                <w:rFonts w:ascii="Arial Narrow" w:hAnsi="Arial Narrow"/>
                <w:lang w:val="es-CO"/>
              </w:rPr>
              <w:t>nro.</w:t>
            </w:r>
            <w:r w:rsidRPr="00C577BA">
              <w:rPr>
                <w:rFonts w:ascii="Arial Narrow" w:hAnsi="Arial Narrow"/>
                <w:lang w:val="es-CO"/>
              </w:rPr>
              <w:t xml:space="preserve"> 467 de 2011 (</w:t>
            </w:r>
            <w:r w:rsidRPr="00BE1991">
              <w:rPr>
                <w:rFonts w:ascii="Arial Narrow" w:hAnsi="Arial Narrow"/>
              </w:rPr>
              <w:t>inicialmente</w:t>
            </w:r>
            <w:r w:rsidRPr="00C577BA">
              <w:rPr>
                <w:rFonts w:ascii="Arial Narrow" w:hAnsi="Arial Narrow"/>
                <w:lang w:val="es-CO"/>
              </w:rPr>
              <w:t xml:space="preserve"> $132.290.250.153</w:t>
            </w:r>
            <w:r>
              <w:rPr>
                <w:rFonts w:ascii="Arial Narrow" w:hAnsi="Arial Narrow"/>
                <w:lang w:val="es-CO"/>
              </w:rPr>
              <w:t xml:space="preserve"> y </w:t>
            </w:r>
            <w:r w:rsidRPr="00C577BA">
              <w:rPr>
                <w:rFonts w:ascii="Arial Narrow" w:hAnsi="Arial Narrow"/>
                <w:lang w:val="es-CO"/>
              </w:rPr>
              <w:t>al finalizar ascendió a la suma de $181.722.618.298), se clasificaron las 196 obligaciones a cargo del contratista así:</w:t>
            </w:r>
          </w:p>
          <w:p w14:paraId="1F564599" w14:textId="77777777" w:rsidR="0074361B" w:rsidRPr="00C577BA" w:rsidRDefault="0074361B" w:rsidP="0074361B">
            <w:pPr>
              <w:pStyle w:val="Prrafodelista"/>
              <w:suppressAutoHyphens/>
              <w:ind w:left="720"/>
              <w:jc w:val="both"/>
              <w:rPr>
                <w:rFonts w:ascii="Arial Narrow" w:hAnsi="Arial Narrow"/>
                <w:lang w:val="es-CO"/>
              </w:rPr>
            </w:pPr>
          </w:p>
          <w:tbl>
            <w:tblPr>
              <w:tblW w:w="7288" w:type="dxa"/>
              <w:jc w:val="center"/>
              <w:tblCellMar>
                <w:left w:w="10" w:type="dxa"/>
                <w:right w:w="10" w:type="dxa"/>
              </w:tblCellMar>
              <w:tblLook w:val="0000" w:firstRow="0" w:lastRow="0" w:firstColumn="0" w:lastColumn="0" w:noHBand="0" w:noVBand="0"/>
            </w:tblPr>
            <w:tblGrid>
              <w:gridCol w:w="4111"/>
              <w:gridCol w:w="1694"/>
              <w:gridCol w:w="1483"/>
            </w:tblGrid>
            <w:tr w:rsidR="0074361B" w:rsidRPr="00C577BA" w14:paraId="61BFFF3A" w14:textId="77777777" w:rsidTr="005446BE">
              <w:trPr>
                <w:trHeight w:val="26"/>
                <w:tblHeader/>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B8B4C1"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Grupo Obligacional</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7FB3678"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 xml:space="preserve">Total </w:t>
                  </w:r>
                </w:p>
                <w:p w14:paraId="4B6551B7"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Obligaciones</w:t>
                  </w:r>
                </w:p>
              </w:tc>
              <w:tc>
                <w:tcPr>
                  <w:tcW w:w="148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8FCB532"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Peso en función del objeto</w:t>
                  </w:r>
                </w:p>
              </w:tc>
            </w:tr>
            <w:tr w:rsidR="0074361B" w:rsidRPr="00C577BA" w14:paraId="08B6B895"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DAF3987"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2.1.  GENERALES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63EA145"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28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0BBDBADF"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4,00%</w:t>
                  </w:r>
                </w:p>
              </w:tc>
            </w:tr>
            <w:tr w:rsidR="0074361B" w:rsidRPr="00C577BA" w14:paraId="10778B9A"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4D3EF1D"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2.2.  FINANCIERA</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1891436"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29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2D92BF0"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18,00%</w:t>
                  </w:r>
                </w:p>
              </w:tc>
            </w:tr>
            <w:tr w:rsidR="0074361B" w:rsidRPr="00C577BA" w14:paraId="56CB7D68"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5335EB2"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2.3.  COMPENSACIÓN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EC4C502"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31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DC6983F"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30,00%</w:t>
                  </w:r>
                </w:p>
              </w:tc>
            </w:tr>
            <w:tr w:rsidR="0074361B" w:rsidRPr="00C577BA" w14:paraId="2BB7235A"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796D46C"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2.4.  REX</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06024AD"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36BDAD7"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4,00%</w:t>
                  </w:r>
                </w:p>
              </w:tc>
            </w:tr>
            <w:tr w:rsidR="0074361B" w:rsidRPr="00C577BA" w14:paraId="713B2FD4"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BD404D8"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2.5.  SOLIDARIDAD</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FCAA171"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16</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BA05720"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20,00%</w:t>
                  </w:r>
                </w:p>
              </w:tc>
            </w:tr>
            <w:tr w:rsidR="0074361B" w:rsidRPr="00C577BA" w14:paraId="1B890CF0"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06A6C39E"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2.6.  ECAT</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6AB3195"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099E8E9"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5,90%</w:t>
                  </w:r>
                </w:p>
              </w:tc>
            </w:tr>
            <w:tr w:rsidR="0074361B" w:rsidRPr="00C577BA" w14:paraId="54855017"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3C201F1"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2.7.  RECOBROS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4D16193"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F993B51"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7,00%</w:t>
                  </w:r>
                </w:p>
              </w:tc>
            </w:tr>
            <w:tr w:rsidR="0074361B" w:rsidRPr="00C577BA" w14:paraId="1E14BB79"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95E6F01"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2.8.  SISTEMAS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6D53B60"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50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D53ACB0"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7,50%</w:t>
                  </w:r>
                </w:p>
              </w:tc>
            </w:tr>
            <w:tr w:rsidR="0074361B" w:rsidRPr="00C577BA" w14:paraId="407FB735"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C68DB23"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2.9.  INFORMES Y RENDICION DE CUENTAS</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DABA0CF"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C450FE6"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0,50%</w:t>
                  </w:r>
                </w:p>
              </w:tc>
            </w:tr>
            <w:tr w:rsidR="0074361B" w:rsidRPr="00C577BA" w14:paraId="59371728"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EA43F1F"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2.10. ENTREGA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E16846A"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0E2D5F6"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2,00%</w:t>
                  </w:r>
                </w:p>
              </w:tc>
            </w:tr>
            <w:tr w:rsidR="0074361B" w:rsidRPr="00C577BA" w14:paraId="5D609DCD"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1803CBD"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2.11. EMPALME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FA6E505"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0ACB9CB"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1,00%</w:t>
                  </w:r>
                </w:p>
              </w:tc>
            </w:tr>
            <w:tr w:rsidR="0074361B" w:rsidRPr="00C577BA" w14:paraId="06762497"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E92A161" w14:textId="77777777" w:rsidR="0074361B" w:rsidRPr="00C577BA" w:rsidRDefault="0074361B" w:rsidP="0021469E">
                  <w:pPr>
                    <w:framePr w:hSpace="141" w:wrap="around" w:vAnchor="page" w:hAnchor="margin" w:xAlign="center" w:y="1411"/>
                    <w:rPr>
                      <w:rFonts w:ascii="Arial Narrow" w:eastAsia="Times New Roman" w:hAnsi="Arial Narrow"/>
                      <w:sz w:val="20"/>
                      <w:szCs w:val="20"/>
                      <w:lang w:val="es-CO"/>
                    </w:rPr>
                  </w:pPr>
                  <w:r w:rsidRPr="00C577BA">
                    <w:rPr>
                      <w:rFonts w:ascii="Arial Narrow" w:eastAsia="Times New Roman" w:hAnsi="Arial Narrow"/>
                      <w:sz w:val="20"/>
                      <w:szCs w:val="20"/>
                      <w:lang w:val="es-CO"/>
                    </w:rPr>
                    <w:t xml:space="preserve">2.12. ESPECIALES </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A45F342" w14:textId="77777777" w:rsidR="0074361B" w:rsidRPr="00C577BA" w:rsidRDefault="0074361B" w:rsidP="0021469E">
                  <w:pPr>
                    <w:framePr w:hSpace="141" w:wrap="around" w:vAnchor="page" w:hAnchor="margin" w:xAlign="center" w:y="1411"/>
                    <w:jc w:val="center"/>
                    <w:rPr>
                      <w:rFonts w:ascii="Arial Narrow" w:eastAsia="Times New Roman" w:hAnsi="Arial Narrow"/>
                      <w:sz w:val="20"/>
                      <w:szCs w:val="20"/>
                      <w:lang w:val="es-CO"/>
                    </w:rPr>
                  </w:pPr>
                  <w:r w:rsidRPr="00C577BA">
                    <w:rPr>
                      <w:rFonts w:ascii="Arial Narrow" w:eastAsia="Times New Roman" w:hAnsi="Arial Narrow"/>
                      <w:sz w:val="20"/>
                      <w:szCs w:val="20"/>
                      <w:lang w:val="es-CO"/>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8920FD5" w14:textId="77777777" w:rsidR="0074361B" w:rsidRPr="00C577BA" w:rsidRDefault="0074361B" w:rsidP="0021469E">
                  <w:pPr>
                    <w:framePr w:hSpace="141" w:wrap="around" w:vAnchor="page" w:hAnchor="margin" w:xAlign="center" w:y="1411"/>
                    <w:jc w:val="right"/>
                    <w:rPr>
                      <w:rFonts w:ascii="Arial Narrow" w:eastAsia="Times New Roman" w:hAnsi="Arial Narrow"/>
                      <w:bCs/>
                      <w:sz w:val="20"/>
                      <w:szCs w:val="20"/>
                      <w:lang w:val="es-CO"/>
                    </w:rPr>
                  </w:pPr>
                  <w:r w:rsidRPr="00C577BA">
                    <w:rPr>
                      <w:rFonts w:ascii="Arial Narrow" w:eastAsia="Times New Roman" w:hAnsi="Arial Narrow"/>
                      <w:bCs/>
                      <w:sz w:val="20"/>
                      <w:szCs w:val="20"/>
                      <w:lang w:val="es-CO"/>
                    </w:rPr>
                    <w:t>0,10%</w:t>
                  </w:r>
                </w:p>
              </w:tc>
            </w:tr>
            <w:tr w:rsidR="0074361B" w:rsidRPr="00C577BA" w14:paraId="11DD319D" w14:textId="77777777" w:rsidTr="005446BE">
              <w:trPr>
                <w:trHeight w:val="26"/>
                <w:jc w:val="center"/>
              </w:trPr>
              <w:tc>
                <w:tcPr>
                  <w:tcW w:w="4111"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D666FE5"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Total</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5DDFA97D" w14:textId="77777777" w:rsidR="0074361B" w:rsidRPr="00C577BA" w:rsidRDefault="0074361B" w:rsidP="0021469E">
                  <w:pPr>
                    <w:framePr w:hSpace="141" w:wrap="around" w:vAnchor="page" w:hAnchor="margin" w:xAlign="center" w:y="1411"/>
                    <w:jc w:val="center"/>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196</w:t>
                  </w:r>
                </w:p>
              </w:tc>
              <w:tc>
                <w:tcPr>
                  <w:tcW w:w="148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875FFA4" w14:textId="77777777" w:rsidR="0074361B" w:rsidRPr="00C577BA" w:rsidRDefault="0074361B" w:rsidP="0021469E">
                  <w:pPr>
                    <w:framePr w:hSpace="141" w:wrap="around" w:vAnchor="page" w:hAnchor="margin" w:xAlign="center" w:y="1411"/>
                    <w:jc w:val="right"/>
                    <w:rPr>
                      <w:rFonts w:ascii="Arial Narrow" w:eastAsia="Times New Roman" w:hAnsi="Arial Narrow"/>
                      <w:b/>
                      <w:bCs/>
                      <w:sz w:val="20"/>
                      <w:szCs w:val="20"/>
                      <w:lang w:val="es-CO"/>
                    </w:rPr>
                  </w:pPr>
                  <w:r w:rsidRPr="00C577BA">
                    <w:rPr>
                      <w:rFonts w:ascii="Arial Narrow" w:eastAsia="Times New Roman" w:hAnsi="Arial Narrow"/>
                      <w:b/>
                      <w:bCs/>
                      <w:sz w:val="20"/>
                      <w:szCs w:val="20"/>
                      <w:lang w:val="es-CO"/>
                    </w:rPr>
                    <w:t>100,00%</w:t>
                  </w:r>
                </w:p>
              </w:tc>
            </w:tr>
          </w:tbl>
          <w:p w14:paraId="6DC51140" w14:textId="77777777" w:rsidR="0074361B" w:rsidRPr="00C577BA" w:rsidRDefault="0074361B" w:rsidP="0074361B">
            <w:pPr>
              <w:pStyle w:val="Prrafodelista"/>
              <w:suppressAutoHyphens/>
              <w:jc w:val="both"/>
              <w:rPr>
                <w:rFonts w:ascii="Arial Narrow" w:hAnsi="Arial Narrow"/>
                <w:lang w:val="es-CO"/>
              </w:rPr>
            </w:pPr>
          </w:p>
          <w:p w14:paraId="3C33AD73"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Como hecho relevante, se destaca que la ejecución del contrato comenzó en vigencia del Decreto 2280 de 2004, a través del </w:t>
            </w:r>
            <w:r w:rsidRPr="00BE1991">
              <w:rPr>
                <w:rFonts w:ascii="Arial Narrow" w:hAnsi="Arial Narrow"/>
              </w:rPr>
              <w:t>cual</w:t>
            </w:r>
            <w:r w:rsidRPr="00C577BA">
              <w:rPr>
                <w:rFonts w:ascii="Arial Narrow" w:hAnsi="Arial Narrow"/>
                <w:lang w:val="es-CO"/>
              </w:rPr>
              <w:t xml:space="preserve"> se reglamentó el proceso de compensación y el funcionamiento de la Subcuenta de Compensación interna del régimen contributivo del Fondo de Solidaridad y Garantía (FOSYGA), norma que fue derogada por el Decreto 4023 de 2011.</w:t>
            </w:r>
          </w:p>
          <w:p w14:paraId="2591EF84" w14:textId="77777777" w:rsidR="0074361B" w:rsidRPr="00C577BA" w:rsidRDefault="0074361B" w:rsidP="0074361B">
            <w:pPr>
              <w:pStyle w:val="Prrafodelista"/>
              <w:suppressAutoHyphens/>
              <w:ind w:left="567" w:right="567"/>
              <w:rPr>
                <w:rFonts w:ascii="Arial Narrow" w:hAnsi="Arial Narrow"/>
                <w:lang w:val="es-CO"/>
              </w:rPr>
            </w:pPr>
          </w:p>
          <w:p w14:paraId="6A9E7384"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El anterior cambio normativo no significó alteración en las condiciones iniciales pactadas, dado que, en síntesis, el Decreto 4023 de 2011 preveía que el sistema de recaudo no lo harían las EPS o EOC, sino la fiduciaria. Lo cual estaba prevista en la fase precontractual del proceso de Selección Abreviada SAMC-04-2011. En el mismo sentido, desde la etapa precontractual y contractual se previó que el contratista debía garantizar la prestación del servicio 24 x 7 x 365 y los riesgos asociados a sobrecostos por contingencias para garantizar la oportuna continuidad del servicio se asignaron en un 100% al contratista.</w:t>
            </w:r>
          </w:p>
          <w:p w14:paraId="5BC2839D" w14:textId="77777777" w:rsidR="0074361B" w:rsidRPr="00C577BA" w:rsidRDefault="0074361B" w:rsidP="0074361B">
            <w:pPr>
              <w:pStyle w:val="Prrafodelista"/>
              <w:suppressAutoHyphens/>
              <w:ind w:left="567" w:right="567"/>
              <w:rPr>
                <w:rFonts w:ascii="Arial Narrow" w:hAnsi="Arial Narrow"/>
                <w:lang w:val="es-CO"/>
              </w:rPr>
            </w:pPr>
          </w:p>
          <w:p w14:paraId="5040171E"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Concordante con ello, la representante del Consorcio SAYP 2011, dentro del proceso de Selección Abreviada SAMC-04-2011, manifestó asumir por su cuenta y riesgo la totalidad de los costos demandados por la ejecución del contrato, y aceptar </w:t>
            </w:r>
            <w:r w:rsidRPr="00BE1991">
              <w:rPr>
                <w:rFonts w:ascii="Arial Narrow" w:hAnsi="Arial Narrow"/>
              </w:rPr>
              <w:t>todos</w:t>
            </w:r>
            <w:r w:rsidRPr="00C577BA">
              <w:rPr>
                <w:rFonts w:ascii="Arial Narrow" w:hAnsi="Arial Narrow"/>
                <w:lang w:val="es-CO"/>
              </w:rPr>
              <w:t xml:space="preserve"> los requisitos y/o exigencias establecidas en el pliego de condiciones. No obstante, FIDUPREVISORA S.A. y FIDUCOLDEX S.A. demandaron a la ADRES a través del medio de control de controversias contractuales, alegando un presunto desequilibrio económico con ocasión de unos mayores costos derivados del Contrato de Servicios Informático y Telemáticos que el Consorcio SAYP 2011 suscribió con su subcontratista INDRA Colombia Limitada el 16 de diciembre de 2011.</w:t>
            </w:r>
          </w:p>
          <w:p w14:paraId="45C3C81E" w14:textId="77777777" w:rsidR="0074361B" w:rsidRPr="00C577BA" w:rsidRDefault="0074361B" w:rsidP="0074361B">
            <w:pPr>
              <w:pStyle w:val="Prrafodelista"/>
              <w:suppressAutoHyphens/>
              <w:ind w:left="567" w:right="567"/>
              <w:rPr>
                <w:rFonts w:ascii="Arial Narrow" w:hAnsi="Arial Narrow"/>
                <w:lang w:val="es-CO"/>
              </w:rPr>
            </w:pPr>
          </w:p>
          <w:p w14:paraId="02E10829"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lastRenderedPageBreak/>
              <w:t xml:space="preserve">La demanda en cuestión fue presentada el 18 de enero de 2017, avocando su conocimiento el Tribunal Administrativo de Cundinamarca – Sección Tercera – Subsección Segunda, mediante auto de fecha 05 de abril de 2017 (Radicado 25000233600020170008200). En este aparte, es oportuno aclarar y precisar que, dentro de la demanda, contestación, fijación del litigio y demás etapas procesales, la parte demandante nunca alegó o solicitó la liquidación judicial del contrato. </w:t>
            </w:r>
            <w:r w:rsidRPr="00BE1991">
              <w:rPr>
                <w:rFonts w:ascii="Arial Narrow" w:hAnsi="Arial Narrow"/>
              </w:rPr>
              <w:t>Incluso</w:t>
            </w:r>
            <w:r w:rsidRPr="00C577BA">
              <w:rPr>
                <w:rFonts w:ascii="Arial Narrow" w:hAnsi="Arial Narrow"/>
                <w:lang w:val="es-CO"/>
              </w:rPr>
              <w:t xml:space="preserve">, se resalta que al momento de la presentación de la demanda y de notificar al extremo pasivo del auto admisorio de dicha demanda, que es el momento procesal en el que queda integrado el contradictorio, el contrato de encargo fiduciario </w:t>
            </w:r>
            <w:r>
              <w:rPr>
                <w:rFonts w:ascii="Arial Narrow" w:hAnsi="Arial Narrow"/>
                <w:lang w:val="es-CO"/>
              </w:rPr>
              <w:t>nro.</w:t>
            </w:r>
            <w:r w:rsidRPr="00C577BA">
              <w:rPr>
                <w:rFonts w:ascii="Arial Narrow" w:hAnsi="Arial Narrow"/>
                <w:lang w:val="es-CO"/>
              </w:rPr>
              <w:t xml:space="preserve"> 467 de 2011 se encontraba vigente. Lo que impedía solicitar la liquidación del contrato.</w:t>
            </w:r>
          </w:p>
          <w:p w14:paraId="0E02B788" w14:textId="77777777" w:rsidR="0074361B" w:rsidRPr="00C577BA" w:rsidRDefault="0074361B" w:rsidP="0074361B">
            <w:pPr>
              <w:pStyle w:val="Prrafodelista"/>
              <w:tabs>
                <w:tab w:val="left" w:pos="584"/>
              </w:tabs>
              <w:ind w:left="440" w:right="545"/>
              <w:jc w:val="both"/>
              <w:rPr>
                <w:rFonts w:ascii="Arial Narrow" w:hAnsi="Arial Narrow"/>
                <w:lang w:val="es-CO"/>
              </w:rPr>
            </w:pPr>
          </w:p>
          <w:p w14:paraId="19479D73"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El día 28 de noviembre de 2018, el Consorcio SAYP 2011, actuando de conformidad con lo establecido por la cláusula décima cuarta del contrato de encargo fiduciario </w:t>
            </w:r>
            <w:r>
              <w:rPr>
                <w:rFonts w:ascii="Arial Narrow" w:hAnsi="Arial Narrow"/>
                <w:lang w:val="es-CO"/>
              </w:rPr>
              <w:t>nro.</w:t>
            </w:r>
            <w:r w:rsidRPr="00C577BA">
              <w:rPr>
                <w:rFonts w:ascii="Arial Narrow" w:hAnsi="Arial Narrow"/>
                <w:lang w:val="es-CO"/>
              </w:rPr>
              <w:t xml:space="preserve"> 467 de 2011 en liquidación, suscribió con la ADRES el Acta de Recibo Final del contrato. Documento a partir del que cual se inició el término de cuatro (4) meses para realizar la liquidación bilateral del contrato.</w:t>
            </w:r>
          </w:p>
          <w:p w14:paraId="6B70025E" w14:textId="77777777" w:rsidR="0074361B" w:rsidRPr="00C577BA" w:rsidRDefault="0074361B" w:rsidP="0074361B">
            <w:pPr>
              <w:pStyle w:val="Prrafodelista"/>
              <w:tabs>
                <w:tab w:val="left" w:pos="584"/>
              </w:tabs>
              <w:ind w:left="440" w:right="545"/>
              <w:jc w:val="both"/>
              <w:rPr>
                <w:rFonts w:ascii="Arial Narrow" w:hAnsi="Arial Narrow"/>
                <w:lang w:val="es-CO"/>
              </w:rPr>
            </w:pPr>
          </w:p>
          <w:p w14:paraId="4317B5D4" w14:textId="77777777" w:rsidR="0074361B" w:rsidRPr="00C577BA" w:rsidRDefault="0074361B" w:rsidP="0074361B">
            <w:pPr>
              <w:pStyle w:val="Prrafodelista"/>
              <w:tabs>
                <w:tab w:val="left" w:pos="584"/>
              </w:tabs>
              <w:ind w:left="440" w:right="545"/>
              <w:jc w:val="both"/>
              <w:rPr>
                <w:rFonts w:ascii="Arial Narrow" w:hAnsi="Arial Narrow"/>
                <w:lang w:val="es-CO"/>
              </w:rPr>
            </w:pPr>
            <w:r w:rsidRPr="00BE1991">
              <w:rPr>
                <w:rFonts w:ascii="Arial Narrow" w:hAnsi="Arial Narrow"/>
              </w:rPr>
              <w:t>Durante</w:t>
            </w:r>
            <w:r w:rsidRPr="00C577BA">
              <w:rPr>
                <w:rFonts w:ascii="Arial Narrow" w:hAnsi="Arial Narrow"/>
                <w:lang w:val="es-CO"/>
              </w:rPr>
              <w:t xml:space="preserve"> el proceso judicial se recaudaron pruebas que demostraron la inexistencia de un desequilibrio económico y llevaron al Tribunal a afirmar que las </w:t>
            </w:r>
            <w:r w:rsidRPr="00C577BA">
              <w:rPr>
                <w:rFonts w:ascii="Arial Narrow" w:hAnsi="Arial Narrow"/>
                <w:i/>
                <w:iCs/>
                <w:lang w:val="es-CO"/>
              </w:rPr>
              <w:t xml:space="preserve">“ganancias por parte del demandante fueron superiores al 100% establecidas en los estudios de mercado llegando a un tope máximo de 299% por lo que se puede evidenciar que no se presentó un desequilibrio en la ejecución del contrato porque se garantizó la ganancia de la utilidad esperada que era del 1%. </w:t>
            </w:r>
            <w:r w:rsidRPr="00C577BA">
              <w:rPr>
                <w:rFonts w:ascii="Arial Narrow" w:hAnsi="Arial Narrow"/>
                <w:lang w:val="es-CO"/>
              </w:rPr>
              <w:t>Además, se verificó que los valores en que tuvo que incurrir el consorcio contratista estaban contemplados aún desde el mismo objeto del contrato, donde se dispuso que las modificaciones normativas las asumiría el contratista. Es decir, se trató de la asignación del riesgo regulatorio o normativo, que en este caso quedó a cargo del contratista, lo cual derivó en la imposibilidad de configurar la teoría del hecho del príncipe.</w:t>
            </w:r>
          </w:p>
          <w:p w14:paraId="7FA74C38" w14:textId="77777777" w:rsidR="0074361B" w:rsidRPr="00C577BA" w:rsidRDefault="0074361B" w:rsidP="0074361B">
            <w:pPr>
              <w:pStyle w:val="Prrafodelista"/>
              <w:suppressAutoHyphens/>
              <w:ind w:left="567" w:right="567"/>
              <w:rPr>
                <w:rFonts w:ascii="Arial Narrow" w:hAnsi="Arial Narrow"/>
                <w:lang w:val="es-CO"/>
              </w:rPr>
            </w:pPr>
          </w:p>
          <w:p w14:paraId="5024081D" w14:textId="77777777" w:rsidR="0074361B"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A pesar de lo dicho, y pese a que las pruebas tuvieron como exclusiva finalidad controvertir las pretensiones incoadas por el demandante y el asunto litigioso fijado por las partes, el 10 de julio de 2019, el Tribunal Administrativo de Cundinamarca profirió la sentencia negando las pretensiones de la demanda contractual, concediéndole la razón a la ADRES, pero extrañamente el Tribunal se pronunció de oficio sobre la liquidación del contrato, declarando que las partes se encuentran a paz y </w:t>
            </w:r>
            <w:r w:rsidRPr="00BE1991">
              <w:rPr>
                <w:rFonts w:ascii="Arial Narrow" w:hAnsi="Arial Narrow"/>
              </w:rPr>
              <w:t>salvo</w:t>
            </w:r>
            <w:r w:rsidRPr="00C577BA">
              <w:rPr>
                <w:rFonts w:ascii="Arial Narrow" w:hAnsi="Arial Narrow"/>
                <w:lang w:val="es-CO"/>
              </w:rPr>
              <w:t xml:space="preserve"> por todo concepto. Sumado a lo anterior, en el momento en que se integró el contradictorio tampoco se cumplían los requisitos contractuales para proceder a la liquidación, dado que el Acta de Recibo Final del contrato de encargo fiduciario N.º 467 de 2011 se suscribió el día 28 de noviembre de 2018. En consecuencia, frente a la decisión </w:t>
            </w:r>
            <w:r w:rsidRPr="00C577BA">
              <w:rPr>
                <w:rFonts w:ascii="Arial Narrow" w:hAnsi="Arial Narrow"/>
                <w:i/>
                <w:iCs/>
                <w:lang w:val="es-CO"/>
              </w:rPr>
              <w:t xml:space="preserve">extra petita </w:t>
            </w:r>
            <w:r w:rsidRPr="00C577BA">
              <w:rPr>
                <w:rFonts w:ascii="Arial Narrow" w:hAnsi="Arial Narrow"/>
                <w:lang w:val="es-CO"/>
              </w:rPr>
              <w:t xml:space="preserve">del Tribunal Administrativo de Cundinamarca, la ADRES solicitó «aclaración» y «adición», pero el Tribunal las negó. Circunstancia que condujo a la ADRES a interponer el recurso de apelación, el 9 de septiembre de 2019, en contra de la sentencia de primera instancia proferida el 10 de julio de 2019 por parte del Tribunal Administrativo de Cundinamarca – Sección Tercera – Subsección Segunda, mediante auto de fecha 05 de abril de 2017 (Radicado N.º 25000233600020170008200). </w:t>
            </w:r>
          </w:p>
          <w:p w14:paraId="11581F79" w14:textId="77777777" w:rsidR="0074361B" w:rsidRDefault="0074361B" w:rsidP="0074361B">
            <w:pPr>
              <w:pStyle w:val="Prrafodelista"/>
              <w:tabs>
                <w:tab w:val="left" w:pos="584"/>
              </w:tabs>
              <w:ind w:left="440" w:right="545"/>
              <w:jc w:val="both"/>
              <w:rPr>
                <w:rFonts w:ascii="Arial Narrow" w:hAnsi="Arial Narrow"/>
                <w:lang w:val="es-CO"/>
              </w:rPr>
            </w:pPr>
          </w:p>
          <w:p w14:paraId="7CBC1DC0" w14:textId="77777777" w:rsidR="0074361B" w:rsidRDefault="0074361B" w:rsidP="0074361B">
            <w:pPr>
              <w:pStyle w:val="Prrafodelista"/>
              <w:tabs>
                <w:tab w:val="left" w:pos="584"/>
              </w:tabs>
              <w:ind w:left="440" w:right="545"/>
              <w:jc w:val="both"/>
              <w:rPr>
                <w:rFonts w:ascii="Arial Narrow" w:eastAsia="Aptos" w:hAnsi="Arial Narrow"/>
                <w:color w:val="000000"/>
                <w:lang w:val="es-MX" w:eastAsia="en-US" w:bidi="ar-SA"/>
              </w:rPr>
            </w:pPr>
            <w:r>
              <w:rPr>
                <w:rFonts w:ascii="Arial Narrow" w:hAnsi="Arial Narrow"/>
              </w:rPr>
              <w:t>E</w:t>
            </w:r>
            <w:r w:rsidRPr="00DC30BB">
              <w:rPr>
                <w:rFonts w:ascii="Arial Narrow" w:hAnsi="Arial Narrow"/>
              </w:rPr>
              <w:t xml:space="preserve">l Consejo de Estado resolvió el recurso de apelación mediante sentencia del 23 de noviembre de 2022, en el sentido de negar </w:t>
            </w:r>
            <w:r w:rsidRPr="00DC30BB">
              <w:rPr>
                <w:rFonts w:ascii="Arial Narrow" w:eastAsia="Aptos" w:hAnsi="Arial Narrow"/>
                <w:color w:val="000000"/>
                <w:lang w:val="es-MX" w:eastAsia="en-US" w:bidi="ar-SA"/>
              </w:rPr>
              <w:t>las pretensiones de la demanda y dejó sin efectos la liquidación judicial realizada por el Tribunal Administrativo de Cundinamarca</w:t>
            </w:r>
            <w:r>
              <w:rPr>
                <w:rFonts w:ascii="Arial Narrow" w:eastAsia="Aptos" w:hAnsi="Arial Narrow"/>
                <w:color w:val="000000"/>
                <w:lang w:val="es-MX" w:eastAsia="en-US" w:bidi="ar-SA"/>
              </w:rPr>
              <w:t xml:space="preserve">. </w:t>
            </w:r>
          </w:p>
          <w:p w14:paraId="57CE42D0" w14:textId="77777777" w:rsidR="0074361B" w:rsidRPr="00C577BA" w:rsidRDefault="0074361B" w:rsidP="0074361B">
            <w:pPr>
              <w:ind w:left="567" w:right="567"/>
              <w:jc w:val="both"/>
              <w:rPr>
                <w:rFonts w:ascii="Arial Narrow" w:hAnsi="Arial Narrow"/>
                <w:lang w:val="es-CO"/>
              </w:rPr>
            </w:pPr>
          </w:p>
          <w:p w14:paraId="1EE60D57" w14:textId="2CDDC8F3" w:rsidR="0074361B"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Por su parte, la ADRES y el contratista suscribieron el Acta de Recibo Final del contrato el 28 de noviembre de 2018 en virtud de lo dispuesto en la cláusula décima cuarta del contrato de encargo fiduciario </w:t>
            </w:r>
            <w:r>
              <w:rPr>
                <w:rFonts w:ascii="Arial Narrow" w:hAnsi="Arial Narrow"/>
                <w:lang w:val="es-CO"/>
              </w:rPr>
              <w:t>nro.</w:t>
            </w:r>
            <w:r w:rsidRPr="00C577BA">
              <w:rPr>
                <w:rFonts w:ascii="Arial Narrow" w:hAnsi="Arial Narrow"/>
                <w:lang w:val="es-CO"/>
              </w:rPr>
              <w:t xml:space="preserve"> 467 de 2011. De esta forma, las partes fijaron el punto de partida para dar inicio a</w:t>
            </w:r>
            <w:r w:rsidR="0005130F">
              <w:rPr>
                <w:rFonts w:ascii="Arial Narrow" w:hAnsi="Arial Narrow"/>
                <w:lang w:val="es-CO"/>
              </w:rPr>
              <w:t>l conteo</w:t>
            </w:r>
            <w:r w:rsidRPr="00C577BA">
              <w:rPr>
                <w:rFonts w:ascii="Arial Narrow" w:hAnsi="Arial Narrow"/>
                <w:lang w:val="es-CO"/>
              </w:rPr>
              <w:t xml:space="preserve"> del término de la liquidación. </w:t>
            </w:r>
          </w:p>
          <w:p w14:paraId="7A9A8C08" w14:textId="77777777" w:rsidR="0074361B" w:rsidRDefault="0074361B" w:rsidP="0074361B">
            <w:pPr>
              <w:pStyle w:val="Prrafodelista"/>
              <w:tabs>
                <w:tab w:val="left" w:pos="584"/>
              </w:tabs>
              <w:ind w:left="440" w:right="545"/>
              <w:jc w:val="both"/>
              <w:rPr>
                <w:rFonts w:ascii="Arial Narrow" w:hAnsi="Arial Narrow"/>
                <w:lang w:val="es-CO"/>
              </w:rPr>
            </w:pPr>
          </w:p>
          <w:p w14:paraId="15FB0F69" w14:textId="77777777" w:rsidR="0074361B" w:rsidRPr="00C577BA" w:rsidRDefault="0074361B" w:rsidP="0074361B">
            <w:pPr>
              <w:pStyle w:val="Prrafodelista"/>
              <w:tabs>
                <w:tab w:val="left" w:pos="584"/>
              </w:tabs>
              <w:ind w:left="440" w:right="545"/>
              <w:jc w:val="both"/>
              <w:rPr>
                <w:rFonts w:ascii="Arial Narrow" w:hAnsi="Arial Narrow"/>
                <w:lang w:val="es-CO"/>
              </w:rPr>
            </w:pPr>
            <w:r>
              <w:rPr>
                <w:rFonts w:ascii="Arial Narrow" w:hAnsi="Arial Narrow"/>
                <w:lang w:val="es-CO"/>
              </w:rPr>
              <w:t xml:space="preserve">Posteriormente, la firma </w:t>
            </w:r>
            <w:r w:rsidRPr="00C577BA">
              <w:rPr>
                <w:rFonts w:ascii="Arial Narrow" w:hAnsi="Arial Narrow"/>
                <w:lang w:val="es-CO"/>
              </w:rPr>
              <w:t>JAHV McGREGOR</w:t>
            </w:r>
            <w:r>
              <w:rPr>
                <w:rFonts w:ascii="Arial Narrow" w:hAnsi="Arial Narrow"/>
                <w:lang w:val="es-CO"/>
              </w:rPr>
              <w:t>, quien realizó la interventoría del mencionado contrato durante toda su ejecución</w:t>
            </w:r>
            <w:r w:rsidRPr="00C577BA">
              <w:rPr>
                <w:rFonts w:ascii="Arial Narrow" w:hAnsi="Arial Narrow"/>
                <w:lang w:val="es-CO"/>
              </w:rPr>
              <w:t xml:space="preserve">, mediante oficios JAHV-INT-20433-19 y JAHV-INT-20449-19 del 14 de junio y 4 de julio de 2019, respectivamente, presentó a la ADRES tanto la metodología a aplicar en la realización del balance final del contrato de encargo fiduciario </w:t>
            </w:r>
            <w:r>
              <w:rPr>
                <w:rFonts w:ascii="Arial Narrow" w:hAnsi="Arial Narrow"/>
                <w:lang w:val="es-CO"/>
              </w:rPr>
              <w:t>nro.</w:t>
            </w:r>
            <w:r w:rsidRPr="00C577BA">
              <w:rPr>
                <w:rFonts w:ascii="Arial Narrow" w:hAnsi="Arial Narrow"/>
                <w:lang w:val="es-CO"/>
              </w:rPr>
              <w:t xml:space="preserve"> 467 de 2011 como el Informe Final de Interventoría del Contrato 467 de 2011. El primero de los mencionados documentos fue adoptado como instrumento válido que refleja y valora objetiva y técnicamente la realidad contractual al momento de su liquidación.</w:t>
            </w:r>
          </w:p>
          <w:p w14:paraId="5B8AF666" w14:textId="77777777" w:rsidR="0074361B" w:rsidRPr="00C577BA" w:rsidRDefault="0074361B" w:rsidP="0074361B">
            <w:pPr>
              <w:suppressAutoHyphens/>
              <w:ind w:left="567" w:right="567"/>
              <w:jc w:val="both"/>
              <w:rPr>
                <w:rFonts w:ascii="Arial Narrow" w:hAnsi="Arial Narrow"/>
                <w:lang w:val="es-CO"/>
              </w:rPr>
            </w:pPr>
          </w:p>
          <w:p w14:paraId="7D1B9D4A"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eastAsia="Calibri" w:hAnsi="Arial Narrow"/>
                <w:lang w:val="es-CO" w:eastAsia="en-US" w:bidi="ar-SA"/>
              </w:rPr>
              <w:t xml:space="preserve">JAHV McGREGOR SAS, mediante oficio JAHV-INT-LIQ01-2020 del 16 de septiembre de 2020, presentó la versión final </w:t>
            </w:r>
            <w:r w:rsidRPr="00C577BA">
              <w:rPr>
                <w:rFonts w:ascii="Arial Narrow" w:eastAsia="Calibri" w:hAnsi="Arial Narrow"/>
                <w:lang w:val="es-CO" w:eastAsia="en-US" w:bidi="ar-SA"/>
              </w:rPr>
              <w:lastRenderedPageBreak/>
              <w:t xml:space="preserve">del Informe de Interventoría denominado BALANCE FINAL CTO 467 VF-2020. </w:t>
            </w:r>
            <w:r w:rsidRPr="00C577BA">
              <w:rPr>
                <w:rFonts w:ascii="Arial Narrow" w:hAnsi="Arial Narrow"/>
                <w:lang w:val="es-CO"/>
              </w:rPr>
              <w:t xml:space="preserve">Con fundamento en el informe de Interventoría y a </w:t>
            </w:r>
            <w:r w:rsidRPr="00BE1991">
              <w:rPr>
                <w:rFonts w:ascii="Arial Narrow" w:hAnsi="Arial Narrow"/>
              </w:rPr>
              <w:t>partir</w:t>
            </w:r>
            <w:r w:rsidRPr="00C577BA">
              <w:rPr>
                <w:rFonts w:ascii="Arial Narrow" w:hAnsi="Arial Narrow"/>
                <w:lang w:val="es-CO"/>
              </w:rPr>
              <w:t xml:space="preserve"> de los soportes que obran en el respectivo expediente contractual, la ADRES adelantó todas y cada una de las actividades tendientes a liquidar el contrato de manera bilateral. Sin embargo, no fue posible llegar a un acuerdo con el Consorcio SAYP para la liquidación bilateral del contrato de encargo fiduciario N.º 467 de 2011. De ahí, que la ADRES procediera a emitir la Resolución N.º 544 de 2021, confirmada por la Resolución N.º 609 de 2021, a través de las que se liquidaba unilateralmente el contrato en mención.</w:t>
            </w:r>
          </w:p>
          <w:p w14:paraId="276E11DA" w14:textId="77777777" w:rsidR="0074361B" w:rsidRPr="00C577BA" w:rsidRDefault="0074361B" w:rsidP="0074361B">
            <w:pPr>
              <w:pStyle w:val="Prrafodelista"/>
              <w:suppressAutoHyphens/>
              <w:ind w:left="567" w:right="567"/>
              <w:jc w:val="both"/>
              <w:rPr>
                <w:rFonts w:ascii="Arial Narrow" w:hAnsi="Arial Narrow"/>
                <w:lang w:val="es-CO"/>
              </w:rPr>
            </w:pPr>
          </w:p>
          <w:p w14:paraId="44AF9650"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De la Resolución 544 de 2021, confirmada por la Resolución 609 de 2021, se derivaron las siguientes dos obligaciones por parte del Consorcio SAYP:</w:t>
            </w:r>
          </w:p>
          <w:p w14:paraId="1F2644CB" w14:textId="77777777" w:rsidR="0074361B" w:rsidRPr="00C577BA" w:rsidRDefault="0074361B" w:rsidP="0074361B">
            <w:pPr>
              <w:pStyle w:val="Prrafodelista"/>
              <w:suppressAutoHyphens/>
              <w:jc w:val="both"/>
              <w:rPr>
                <w:rFonts w:ascii="Arial Narrow" w:hAnsi="Arial Narrow"/>
                <w:lang w:val="es-CO"/>
              </w:rPr>
            </w:pPr>
          </w:p>
          <w:p w14:paraId="1A29EF66" w14:textId="77777777" w:rsidR="0074361B" w:rsidRPr="00C577BA" w:rsidRDefault="0074361B" w:rsidP="0074361B">
            <w:pPr>
              <w:pStyle w:val="Prrafodelista"/>
              <w:widowControl/>
              <w:numPr>
                <w:ilvl w:val="0"/>
                <w:numId w:val="29"/>
              </w:numPr>
              <w:suppressAutoHyphens/>
              <w:autoSpaceDE/>
              <w:ind w:right="567"/>
              <w:contextualSpacing/>
              <w:jc w:val="both"/>
              <w:rPr>
                <w:rFonts w:ascii="Arial Narrow" w:hAnsi="Arial Narrow"/>
                <w:lang w:val="es-CO"/>
              </w:rPr>
            </w:pPr>
            <w:r w:rsidRPr="00C577BA">
              <w:rPr>
                <w:rFonts w:ascii="Arial Narrow" w:hAnsi="Arial Narrow"/>
                <w:lang w:val="es-CO"/>
              </w:rPr>
              <w:t xml:space="preserve">El reintegro de </w:t>
            </w:r>
            <w:r w:rsidRPr="00C577BA">
              <w:rPr>
                <w:rFonts w:ascii="Arial Narrow" w:hAnsi="Arial Narrow"/>
                <w:b/>
                <w:bCs/>
                <w:lang w:val="es-CO"/>
              </w:rPr>
              <w:t>$1.340.156.875</w:t>
            </w:r>
            <w:r w:rsidRPr="00C577BA">
              <w:rPr>
                <w:rFonts w:ascii="Arial Narrow" w:hAnsi="Arial Narrow"/>
                <w:lang w:val="es-CO"/>
              </w:rPr>
              <w:t xml:space="preserve"> concernientes a aplicación de metodología de liquidación y a valores asociados a la operación del FOSYGA:</w:t>
            </w:r>
          </w:p>
          <w:p w14:paraId="55D1D2C0" w14:textId="77777777" w:rsidR="0074361B" w:rsidRPr="00C577BA" w:rsidRDefault="0074361B" w:rsidP="0074361B">
            <w:pPr>
              <w:jc w:val="both"/>
              <w:rPr>
                <w:rFonts w:ascii="Arial Narrow" w:hAnsi="Arial Narrow"/>
                <w:lang w:val="es-CO"/>
              </w:rPr>
            </w:pPr>
          </w:p>
          <w:tbl>
            <w:tblPr>
              <w:tblW w:w="7808" w:type="dxa"/>
              <w:jc w:val="center"/>
              <w:tblCellMar>
                <w:left w:w="10" w:type="dxa"/>
                <w:right w:w="10" w:type="dxa"/>
              </w:tblCellMar>
              <w:tblLook w:val="0000" w:firstRow="0" w:lastRow="0" w:firstColumn="0" w:lastColumn="0" w:noHBand="0" w:noVBand="0"/>
            </w:tblPr>
            <w:tblGrid>
              <w:gridCol w:w="5940"/>
              <w:gridCol w:w="1868"/>
            </w:tblGrid>
            <w:tr w:rsidR="0074361B" w:rsidRPr="00C577BA" w14:paraId="685201F9" w14:textId="77777777" w:rsidTr="005446BE">
              <w:trPr>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6D8F0084"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bookmarkStart w:id="1" w:name="_Hlk167781547"/>
                  <w:r w:rsidRPr="00C577BA">
                    <w:rPr>
                      <w:rFonts w:ascii="Arial Narrow" w:hAnsi="Arial Narrow"/>
                      <w:b/>
                      <w:bCs/>
                      <w:lang w:val="es-CO"/>
                    </w:rPr>
                    <w:t>Concepto</w:t>
                  </w:r>
                </w:p>
              </w:tc>
              <w:tc>
                <w:tcPr>
                  <w:tcW w:w="186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2213AFF5"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b/>
                      <w:bCs/>
                      <w:lang w:val="es-CO"/>
                    </w:rPr>
                    <w:t>Valor</w:t>
                  </w:r>
                </w:p>
              </w:tc>
            </w:tr>
            <w:tr w:rsidR="0074361B" w:rsidRPr="00C577BA" w14:paraId="6413132B" w14:textId="77777777" w:rsidTr="005446BE">
              <w:trPr>
                <w:trHeight w:val="45"/>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2A199" w14:textId="77777777" w:rsidR="0074361B" w:rsidRPr="00C577BA" w:rsidRDefault="0074361B" w:rsidP="0021469E">
                  <w:pPr>
                    <w:pStyle w:val="Prrafodelista"/>
                    <w:framePr w:hSpace="141" w:wrap="around" w:vAnchor="page" w:hAnchor="margin" w:xAlign="center" w:y="1411"/>
                    <w:suppressAutoHyphens/>
                    <w:jc w:val="both"/>
                    <w:rPr>
                      <w:rFonts w:ascii="Arial Narrow" w:hAnsi="Arial Narrow"/>
                      <w:lang w:val="es-CO"/>
                    </w:rPr>
                  </w:pPr>
                  <w:r w:rsidRPr="00C577BA">
                    <w:rPr>
                      <w:rFonts w:ascii="Arial Narrow" w:hAnsi="Arial Narrow"/>
                      <w:lang w:val="es-CO"/>
                    </w:rPr>
                    <w:t>3.3.2. Balance final obligacional</w:t>
                  </w:r>
                </w:p>
              </w:tc>
              <w:tc>
                <w:tcPr>
                  <w:tcW w:w="1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E32E4"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lang w:val="es-CO"/>
                    </w:rPr>
                    <w:t>$764.981.255</w:t>
                  </w:r>
                </w:p>
              </w:tc>
            </w:tr>
            <w:tr w:rsidR="0074361B" w:rsidRPr="00C577BA" w14:paraId="078CC287" w14:textId="77777777" w:rsidTr="005446BE">
              <w:trPr>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D33741" w14:textId="77777777" w:rsidR="0074361B" w:rsidRPr="00C577BA" w:rsidRDefault="0074361B" w:rsidP="0021469E">
                  <w:pPr>
                    <w:pStyle w:val="Prrafodelista"/>
                    <w:framePr w:hSpace="141" w:wrap="around" w:vAnchor="page" w:hAnchor="margin" w:xAlign="center" w:y="1411"/>
                    <w:suppressAutoHyphens/>
                    <w:jc w:val="both"/>
                    <w:rPr>
                      <w:rFonts w:ascii="Arial Narrow" w:hAnsi="Arial Narrow"/>
                      <w:lang w:val="es-CO"/>
                    </w:rPr>
                  </w:pPr>
                  <w:r w:rsidRPr="00C577BA">
                    <w:rPr>
                      <w:rFonts w:ascii="Arial Narrow" w:hAnsi="Arial Narrow"/>
                      <w:lang w:val="es-CO"/>
                    </w:rPr>
                    <w:t>3.3.3.1. Relación de embargos decretados por los despachos judiciales que recaen sobre las cuentas del FOSYGA, administrados por el Consorcio SAYP 2011</w:t>
                  </w:r>
                </w:p>
              </w:tc>
              <w:tc>
                <w:tcPr>
                  <w:tcW w:w="1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FBA244"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lang w:val="es-CO"/>
                    </w:rPr>
                    <w:t>$6.042.284,00</w:t>
                  </w:r>
                </w:p>
              </w:tc>
            </w:tr>
            <w:tr w:rsidR="0074361B" w:rsidRPr="00C577BA" w14:paraId="17B50E43" w14:textId="77777777" w:rsidTr="005446BE">
              <w:trPr>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0F74E2" w14:textId="77777777" w:rsidR="0074361B" w:rsidRPr="00C577BA" w:rsidRDefault="0074361B" w:rsidP="0021469E">
                  <w:pPr>
                    <w:pStyle w:val="Prrafodelista"/>
                    <w:framePr w:hSpace="141" w:wrap="around" w:vAnchor="page" w:hAnchor="margin" w:xAlign="center" w:y="1411"/>
                    <w:suppressAutoHyphens/>
                    <w:jc w:val="both"/>
                    <w:rPr>
                      <w:rFonts w:ascii="Arial Narrow" w:hAnsi="Arial Narrow"/>
                      <w:lang w:val="es-CO"/>
                    </w:rPr>
                  </w:pPr>
                  <w:r w:rsidRPr="00C577BA">
                    <w:rPr>
                      <w:rFonts w:ascii="Arial Narrow" w:hAnsi="Arial Narrow"/>
                      <w:lang w:val="es-CO"/>
                    </w:rPr>
                    <w:t>3.3.3.2. Pagarés no entregados al MSPS a la finalización de la Obligación 2.6.9.</w:t>
                  </w:r>
                </w:p>
              </w:tc>
              <w:tc>
                <w:tcPr>
                  <w:tcW w:w="1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03D2A6"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lang w:val="es-CO"/>
                    </w:rPr>
                    <w:t>$22.808.048,18</w:t>
                  </w:r>
                </w:p>
              </w:tc>
            </w:tr>
            <w:tr w:rsidR="0074361B" w:rsidRPr="00C577BA" w14:paraId="783D5779" w14:textId="77777777" w:rsidTr="005446BE">
              <w:trPr>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F0DFCF" w14:textId="77777777" w:rsidR="0074361B" w:rsidRPr="00C577BA" w:rsidRDefault="0074361B" w:rsidP="0021469E">
                  <w:pPr>
                    <w:pStyle w:val="Prrafodelista"/>
                    <w:framePr w:hSpace="141" w:wrap="around" w:vAnchor="page" w:hAnchor="margin" w:xAlign="center" w:y="1411"/>
                    <w:suppressAutoHyphens/>
                    <w:jc w:val="both"/>
                    <w:rPr>
                      <w:rFonts w:ascii="Arial Narrow" w:hAnsi="Arial Narrow"/>
                      <w:lang w:val="es-CO"/>
                    </w:rPr>
                  </w:pPr>
                  <w:r w:rsidRPr="00C577BA">
                    <w:rPr>
                      <w:rFonts w:ascii="Arial Narrow" w:hAnsi="Arial Narrow"/>
                      <w:lang w:val="es-CO"/>
                    </w:rPr>
                    <w:t>3.3.3.3. Procesos de repetición reclamaciones Subcuenta ECAT que perdieron fuerza ejecutoria</w:t>
                  </w:r>
                </w:p>
              </w:tc>
              <w:tc>
                <w:tcPr>
                  <w:tcW w:w="1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C6B5E9"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lang w:val="es-CO"/>
                    </w:rPr>
                    <w:t>$248.287.669,00</w:t>
                  </w:r>
                </w:p>
              </w:tc>
            </w:tr>
            <w:tr w:rsidR="0074361B" w:rsidRPr="00C577BA" w14:paraId="2BD55A86" w14:textId="77777777" w:rsidTr="005446BE">
              <w:trPr>
                <w:trHeight w:val="70"/>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1C71F" w14:textId="77777777" w:rsidR="0074361B" w:rsidRPr="00C577BA" w:rsidRDefault="0074361B" w:rsidP="0021469E">
                  <w:pPr>
                    <w:pStyle w:val="Prrafodelista"/>
                    <w:framePr w:hSpace="141" w:wrap="around" w:vAnchor="page" w:hAnchor="margin" w:xAlign="center" w:y="1411"/>
                    <w:suppressAutoHyphens/>
                    <w:jc w:val="both"/>
                    <w:rPr>
                      <w:rFonts w:ascii="Arial Narrow" w:hAnsi="Arial Narrow"/>
                      <w:lang w:val="es-CO"/>
                    </w:rPr>
                  </w:pPr>
                  <w:r w:rsidRPr="00C577BA">
                    <w:rPr>
                      <w:rFonts w:ascii="Arial Narrow" w:hAnsi="Arial Narrow"/>
                      <w:lang w:val="es-CO"/>
                    </w:rPr>
                    <w:t>3.3.3.4. Cheques devueltos EPS SOLSALUD (fecha de cálculo, 30/09/2020)</w:t>
                  </w:r>
                </w:p>
              </w:tc>
              <w:tc>
                <w:tcPr>
                  <w:tcW w:w="1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50EE5E"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lang w:val="es-CO"/>
                    </w:rPr>
                  </w:pPr>
                  <w:r w:rsidRPr="00C577BA">
                    <w:rPr>
                      <w:rFonts w:ascii="Arial Narrow" w:hAnsi="Arial Narrow"/>
                      <w:lang w:val="es-CO"/>
                    </w:rPr>
                    <w:t>$298.037.588,96</w:t>
                  </w:r>
                </w:p>
              </w:tc>
            </w:tr>
            <w:tr w:rsidR="0074361B" w:rsidRPr="00C577BA" w14:paraId="4594A5DE" w14:textId="77777777" w:rsidTr="005446BE">
              <w:trPr>
                <w:trHeight w:val="53"/>
                <w:jc w:val="center"/>
              </w:trPr>
              <w:tc>
                <w:tcPr>
                  <w:tcW w:w="594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32FEA05F"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b/>
                      <w:bCs/>
                      <w:lang w:val="es-CO"/>
                    </w:rPr>
                  </w:pPr>
                  <w:r w:rsidRPr="00C577BA">
                    <w:rPr>
                      <w:rFonts w:ascii="Arial Narrow" w:hAnsi="Arial Narrow"/>
                      <w:b/>
                      <w:bCs/>
                      <w:lang w:val="es-CO"/>
                    </w:rPr>
                    <w:t>TOTAL</w:t>
                  </w:r>
                </w:p>
              </w:tc>
              <w:tc>
                <w:tcPr>
                  <w:tcW w:w="186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6D5B203F"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b/>
                      <w:bCs/>
                      <w:lang w:val="es-CO"/>
                    </w:rPr>
                  </w:pPr>
                </w:p>
                <w:p w14:paraId="5BF0F284" w14:textId="77777777" w:rsidR="0074361B" w:rsidRPr="00C577BA" w:rsidRDefault="0074361B" w:rsidP="0021469E">
                  <w:pPr>
                    <w:pStyle w:val="Prrafodelista"/>
                    <w:framePr w:hSpace="141" w:wrap="around" w:vAnchor="page" w:hAnchor="margin" w:xAlign="center" w:y="1411"/>
                    <w:suppressAutoHyphens/>
                    <w:jc w:val="center"/>
                    <w:rPr>
                      <w:rFonts w:ascii="Arial Narrow" w:hAnsi="Arial Narrow"/>
                      <w:b/>
                      <w:bCs/>
                      <w:lang w:val="es-CO"/>
                    </w:rPr>
                  </w:pPr>
                  <w:r w:rsidRPr="00C577BA">
                    <w:rPr>
                      <w:rFonts w:ascii="Arial Narrow" w:hAnsi="Arial Narrow"/>
                      <w:b/>
                      <w:bCs/>
                      <w:lang w:val="es-CO"/>
                    </w:rPr>
                    <w:t>$1.340.156.875</w:t>
                  </w:r>
                </w:p>
              </w:tc>
            </w:tr>
            <w:bookmarkEnd w:id="1"/>
          </w:tbl>
          <w:p w14:paraId="72AC0F69" w14:textId="77777777" w:rsidR="0074361B" w:rsidRPr="00C577BA" w:rsidRDefault="0074361B" w:rsidP="0074361B">
            <w:pPr>
              <w:pStyle w:val="Prrafodelista"/>
              <w:suppressAutoHyphens/>
              <w:rPr>
                <w:rFonts w:ascii="Arial Narrow" w:hAnsi="Arial Narrow"/>
                <w:lang w:val="es-CO"/>
              </w:rPr>
            </w:pPr>
          </w:p>
          <w:p w14:paraId="4DD82036" w14:textId="7C2D3644" w:rsidR="0074361B" w:rsidRPr="00C577BA" w:rsidRDefault="0074361B" w:rsidP="0074361B">
            <w:pPr>
              <w:jc w:val="center"/>
              <w:rPr>
                <w:rFonts w:ascii="Arial Narrow" w:hAnsi="Arial Narrow"/>
                <w:lang w:val="es-CO"/>
              </w:rPr>
            </w:pPr>
            <w:r w:rsidRPr="00C577BA">
              <w:rPr>
                <w:rFonts w:ascii="Arial Narrow" w:hAnsi="Arial Narrow"/>
                <w:lang w:val="es-CO"/>
              </w:rPr>
              <w:object w:dxaOrig="7980" w:dyaOrig="1245" w14:anchorId="074C7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62.25pt;visibility:visible" o:ole="">
                  <v:imagedata r:id="rId11" o:title=""/>
                </v:shape>
                <o:OLEObject Type="Embed" ProgID="Word.Document.12" ShapeID="_x0000_i1025" DrawAspect="Content" ObjectID="_1805109985" r:id="rId12"/>
              </w:object>
            </w:r>
          </w:p>
          <w:p w14:paraId="77589533" w14:textId="77777777" w:rsidR="0074361B" w:rsidRPr="00C577BA" w:rsidRDefault="0074361B" w:rsidP="0074361B">
            <w:pPr>
              <w:pStyle w:val="Prrafodelista"/>
              <w:widowControl/>
              <w:numPr>
                <w:ilvl w:val="0"/>
                <w:numId w:val="29"/>
              </w:numPr>
              <w:suppressAutoHyphens/>
              <w:autoSpaceDE/>
              <w:ind w:right="567"/>
              <w:contextualSpacing/>
              <w:jc w:val="both"/>
              <w:rPr>
                <w:rFonts w:ascii="Arial Narrow" w:hAnsi="Arial Narrow"/>
                <w:lang w:val="es-CO"/>
              </w:rPr>
            </w:pPr>
            <w:r w:rsidRPr="00C577BA">
              <w:rPr>
                <w:rFonts w:ascii="Arial Narrow" w:hAnsi="Arial Narrow"/>
                <w:lang w:val="es-CO"/>
              </w:rPr>
              <w:t>Recuperación de las imágenes perdidas de recobros no entregadas en el marco de la ejecución contractual.</w:t>
            </w:r>
          </w:p>
          <w:p w14:paraId="1C60C0B6" w14:textId="77777777" w:rsidR="0074361B" w:rsidRPr="00C577BA" w:rsidRDefault="0074361B" w:rsidP="0074361B">
            <w:pPr>
              <w:pStyle w:val="Prrafodelista"/>
              <w:suppressAutoHyphens/>
              <w:ind w:left="1418"/>
              <w:rPr>
                <w:rFonts w:ascii="Arial Narrow" w:hAnsi="Arial Narrow"/>
                <w:lang w:val="es-CO"/>
              </w:rPr>
            </w:pPr>
          </w:p>
          <w:p w14:paraId="46CDD145" w14:textId="77777777" w:rsidR="0074361B" w:rsidRPr="00C577BA" w:rsidRDefault="0074361B" w:rsidP="0074361B">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En </w:t>
            </w:r>
            <w:r w:rsidRPr="00BE1991">
              <w:rPr>
                <w:rFonts w:ascii="Arial Narrow" w:hAnsi="Arial Narrow"/>
              </w:rPr>
              <w:t>respuesta</w:t>
            </w:r>
            <w:r w:rsidRPr="00C577BA">
              <w:rPr>
                <w:rFonts w:ascii="Arial Narrow" w:hAnsi="Arial Narrow"/>
                <w:lang w:val="es-CO"/>
              </w:rPr>
              <w:t xml:space="preserve">, el 12 de mayo de 2022 el Consorcio SAYP emitió propuesta conciliatoria para responder y negociar algunas de las obligaciones pendientes contenidas en la liquidación del contrato de encargo fiduciario </w:t>
            </w:r>
            <w:r>
              <w:rPr>
                <w:rFonts w:ascii="Arial Narrow" w:hAnsi="Arial Narrow"/>
                <w:lang w:val="es-CO"/>
              </w:rPr>
              <w:t>nro.</w:t>
            </w:r>
            <w:r w:rsidRPr="00C577BA">
              <w:rPr>
                <w:rFonts w:ascii="Arial Narrow" w:hAnsi="Arial Narrow"/>
                <w:lang w:val="es-CO"/>
              </w:rPr>
              <w:t xml:space="preserve"> 467 de 2011. Dicha propuesta comprendía lo siguiente:</w:t>
            </w:r>
          </w:p>
          <w:p w14:paraId="60E22506" w14:textId="77777777" w:rsidR="0074361B" w:rsidRPr="00C577BA" w:rsidRDefault="0074361B" w:rsidP="0074361B">
            <w:pPr>
              <w:ind w:right="567"/>
              <w:jc w:val="both"/>
              <w:rPr>
                <w:rFonts w:ascii="Arial Narrow" w:hAnsi="Arial Narrow"/>
                <w:lang w:val="es-CO"/>
              </w:rPr>
            </w:pPr>
          </w:p>
          <w:p w14:paraId="5EB332AA" w14:textId="77777777" w:rsidR="0074361B" w:rsidRPr="00C577BA" w:rsidRDefault="0074361B" w:rsidP="0074361B">
            <w:pPr>
              <w:pStyle w:val="Prrafodelista"/>
              <w:widowControl/>
              <w:numPr>
                <w:ilvl w:val="0"/>
                <w:numId w:val="29"/>
              </w:numPr>
              <w:suppressAutoHyphens/>
              <w:autoSpaceDE/>
              <w:ind w:right="567"/>
              <w:contextualSpacing/>
              <w:jc w:val="both"/>
              <w:rPr>
                <w:rFonts w:ascii="Arial Narrow" w:hAnsi="Arial Narrow"/>
                <w:lang w:val="es-CO"/>
              </w:rPr>
            </w:pPr>
            <w:r w:rsidRPr="00C577BA">
              <w:rPr>
                <w:rFonts w:ascii="Arial Narrow" w:hAnsi="Arial Narrow"/>
                <w:lang w:val="es-CO"/>
              </w:rPr>
              <w:t xml:space="preserve">Reconocer y pagar un valor total de $575.175.589 como suma total y definitiva que pondría fin a las reclamaciones mutuas entre la ADRES y el consorcio. Excluyendo el valor de $764.981.255 que corresponde al balance final obligacional. </w:t>
            </w:r>
          </w:p>
          <w:p w14:paraId="1BAB9BA5" w14:textId="77777777" w:rsidR="0074361B" w:rsidRPr="00C577BA" w:rsidRDefault="0074361B" w:rsidP="0074361B">
            <w:pPr>
              <w:pStyle w:val="Prrafodelista"/>
              <w:suppressAutoHyphens/>
              <w:ind w:left="1440" w:right="567"/>
              <w:jc w:val="both"/>
              <w:rPr>
                <w:rFonts w:ascii="Arial Narrow" w:hAnsi="Arial Narrow"/>
                <w:lang w:val="es-CO"/>
              </w:rPr>
            </w:pPr>
          </w:p>
          <w:p w14:paraId="217ED465" w14:textId="77777777" w:rsidR="0074361B" w:rsidRPr="00C577BA" w:rsidRDefault="0074361B" w:rsidP="0074361B">
            <w:pPr>
              <w:ind w:left="1416" w:right="567"/>
              <w:jc w:val="both"/>
              <w:rPr>
                <w:rFonts w:ascii="Arial Narrow" w:hAnsi="Arial Narrow"/>
                <w:lang w:val="es-CO"/>
              </w:rPr>
            </w:pPr>
            <w:r w:rsidRPr="00C577BA">
              <w:rPr>
                <w:rFonts w:ascii="Arial Narrow" w:hAnsi="Arial Narrow"/>
                <w:lang w:val="es-CO"/>
              </w:rPr>
              <w:t>Lo anterior, al argumentar que: i) la metodología de valoración y ponderación del cumplimiento de las obligaciones contractuales se impuso unilateralmente, ii) Ausencia de requerimientos previos a la constitución del incumplimiento, iii) Inexistencia de los presuntos perjuicios reclamados por la firma interventora JAHV Mc GREGOR a favor de la ADRES, iv) Deficiencias en la metodología aplicada por la firma interventora JAHV McGREGOR.</w:t>
            </w:r>
          </w:p>
          <w:p w14:paraId="19A6FD29" w14:textId="77777777" w:rsidR="0074361B" w:rsidRPr="00C577BA" w:rsidRDefault="0074361B" w:rsidP="0074361B">
            <w:pPr>
              <w:jc w:val="both"/>
              <w:rPr>
                <w:rFonts w:ascii="Arial Narrow" w:hAnsi="Arial Narrow"/>
                <w:color w:val="000000"/>
                <w:lang w:val="es-CO"/>
              </w:rPr>
            </w:pPr>
          </w:p>
          <w:p w14:paraId="364AD8E6" w14:textId="77777777" w:rsidR="0074361B" w:rsidRPr="00C577BA" w:rsidRDefault="0074361B" w:rsidP="0074361B">
            <w:pPr>
              <w:pStyle w:val="Prrafodelista"/>
              <w:tabs>
                <w:tab w:val="left" w:pos="584"/>
              </w:tabs>
              <w:ind w:left="440" w:right="545"/>
              <w:jc w:val="both"/>
              <w:rPr>
                <w:rFonts w:ascii="Arial Narrow" w:hAnsi="Arial Narrow"/>
                <w:lang w:val="es-CO"/>
              </w:rPr>
            </w:pPr>
            <w:r w:rsidRPr="00BE1991">
              <w:rPr>
                <w:rFonts w:ascii="Arial Narrow" w:hAnsi="Arial Narrow"/>
              </w:rPr>
              <w:t>Como</w:t>
            </w:r>
            <w:r w:rsidRPr="00C577BA">
              <w:rPr>
                <w:rFonts w:ascii="Arial Narrow" w:hAnsi="Arial Narrow"/>
                <w:color w:val="000000"/>
                <w:lang w:val="es-CO"/>
              </w:rPr>
              <w:t xml:space="preserve"> respuesta, la ADRES manifestó que</w:t>
            </w:r>
            <w:r w:rsidRPr="00C577BA">
              <w:rPr>
                <w:rFonts w:ascii="Arial Narrow" w:hAnsi="Arial Narrow"/>
                <w:lang w:val="es-CO"/>
              </w:rPr>
              <w:t xml:space="preserve"> la metodología de balance final del contrato de encargo fiduciario </w:t>
            </w:r>
            <w:r>
              <w:rPr>
                <w:rFonts w:ascii="Arial Narrow" w:hAnsi="Arial Narrow"/>
                <w:lang w:val="es-CO"/>
              </w:rPr>
              <w:t>nro.</w:t>
            </w:r>
            <w:r w:rsidRPr="00C577BA">
              <w:rPr>
                <w:rFonts w:ascii="Arial Narrow" w:hAnsi="Arial Narrow"/>
                <w:lang w:val="es-CO"/>
              </w:rPr>
              <w:t xml:space="preserve"> 467 de 2011, fue producto de un consenso entre 2018 y 2020 donde participó la ADRES, el Ministerio de Salud y Protección </w:t>
            </w:r>
            <w:r w:rsidRPr="00C577BA">
              <w:rPr>
                <w:rFonts w:ascii="Arial Narrow" w:hAnsi="Arial Narrow"/>
                <w:lang w:val="es-CO"/>
              </w:rPr>
              <w:lastRenderedPageBreak/>
              <w:t xml:space="preserve">Social y el Consorcio SAYP 2011, situación que derivó en la expedición por parte de JAHV McGREGOR del balance final del contrato documento en el cual quedaron detalladas las actividades. </w:t>
            </w:r>
          </w:p>
          <w:p w14:paraId="706FC293" w14:textId="77777777" w:rsidR="0074361B" w:rsidRPr="00C577BA" w:rsidRDefault="0074361B" w:rsidP="0074361B">
            <w:pPr>
              <w:pStyle w:val="Prrafodelista"/>
              <w:suppressAutoHyphens/>
              <w:ind w:left="567" w:right="567"/>
              <w:jc w:val="both"/>
              <w:rPr>
                <w:rFonts w:ascii="Arial Narrow" w:hAnsi="Arial Narrow"/>
                <w:lang w:val="es-CO"/>
              </w:rPr>
            </w:pPr>
          </w:p>
          <w:p w14:paraId="0A886523" w14:textId="77777777" w:rsidR="0074361B" w:rsidRDefault="0074361B" w:rsidP="0074361B">
            <w:pPr>
              <w:pStyle w:val="Prrafodelista"/>
              <w:tabs>
                <w:tab w:val="left" w:pos="584"/>
              </w:tabs>
              <w:ind w:left="440" w:right="545"/>
              <w:jc w:val="both"/>
              <w:rPr>
                <w:rFonts w:ascii="Arial Narrow" w:hAnsi="Arial Narrow"/>
                <w:lang w:val="es-CO"/>
              </w:rPr>
            </w:pPr>
            <w:r w:rsidRPr="00BE1991">
              <w:rPr>
                <w:rFonts w:ascii="Arial Narrow" w:hAnsi="Arial Narrow"/>
              </w:rPr>
              <w:t>Es</w:t>
            </w:r>
            <w:r w:rsidRPr="00C577BA">
              <w:rPr>
                <w:rFonts w:ascii="Arial Narrow" w:hAnsi="Arial Narrow"/>
                <w:lang w:val="es-CO"/>
              </w:rPr>
              <w:t xml:space="preserve"> preciso aclarar que en ningún momento se ha sostenido por ADRES que el valor a restituir sea la consecuencia de un incumplimiento contractual, sino el resultado de la aplicación de lo dispuesto en el artículo 60 de la Ley 80 de 1993, donde se planteó una metodología de liquidación objetiva para establecer el balance final del contrato, teniendo en cuenta la complejidad del contrato de encargo fiduciario </w:t>
            </w:r>
            <w:r>
              <w:rPr>
                <w:rFonts w:ascii="Arial Narrow" w:hAnsi="Arial Narrow"/>
                <w:lang w:val="es-CO"/>
              </w:rPr>
              <w:t>nro.</w:t>
            </w:r>
            <w:r w:rsidRPr="00C577BA">
              <w:rPr>
                <w:rFonts w:ascii="Arial Narrow" w:hAnsi="Arial Narrow"/>
                <w:lang w:val="es-CO"/>
              </w:rPr>
              <w:t xml:space="preserve"> 467 de 2011.</w:t>
            </w:r>
          </w:p>
          <w:p w14:paraId="75C3491F" w14:textId="77777777" w:rsidR="0074361B" w:rsidRPr="0074361B" w:rsidRDefault="0074361B" w:rsidP="0074361B">
            <w:pPr>
              <w:tabs>
                <w:tab w:val="left" w:pos="584"/>
              </w:tabs>
              <w:ind w:right="545"/>
              <w:jc w:val="both"/>
              <w:rPr>
                <w:rFonts w:ascii="Arial Narrow" w:hAnsi="Arial Narrow"/>
                <w:lang w:val="es-CO"/>
              </w:rPr>
            </w:pPr>
          </w:p>
          <w:p w14:paraId="6787DECE" w14:textId="5B981794" w:rsidR="00347BCA" w:rsidRPr="0074361B" w:rsidRDefault="00647488" w:rsidP="0074361B">
            <w:pPr>
              <w:pStyle w:val="TableParagraph"/>
              <w:numPr>
                <w:ilvl w:val="0"/>
                <w:numId w:val="2"/>
              </w:numPr>
              <w:tabs>
                <w:tab w:val="left" w:pos="584"/>
              </w:tabs>
              <w:ind w:left="836" w:right="567"/>
              <w:jc w:val="both"/>
              <w:rPr>
                <w:rFonts w:ascii="Arial Narrow" w:hAnsi="Arial Narrow"/>
                <w:b/>
                <w:bCs/>
                <w:color w:val="000000" w:themeColor="text1"/>
                <w:lang w:val="es-CO"/>
              </w:rPr>
            </w:pPr>
            <w:r w:rsidRPr="0074361B">
              <w:rPr>
                <w:rFonts w:ascii="Arial Narrow" w:hAnsi="Arial Narrow"/>
                <w:b/>
                <w:bCs/>
                <w:color w:val="000000" w:themeColor="text1"/>
                <w:lang w:val="es-CO"/>
              </w:rPr>
              <w:t>Concepto de Violación</w:t>
            </w:r>
          </w:p>
          <w:p w14:paraId="49A5A95A" w14:textId="77777777" w:rsidR="00647488" w:rsidRPr="00647488" w:rsidRDefault="00647488" w:rsidP="00647488">
            <w:pPr>
              <w:ind w:right="567"/>
              <w:jc w:val="both"/>
              <w:rPr>
                <w:rFonts w:ascii="Arial Narrow" w:hAnsi="Arial Narrow"/>
                <w:lang w:val="es-CO"/>
              </w:rPr>
            </w:pPr>
          </w:p>
          <w:p w14:paraId="735EB995" w14:textId="77777777" w:rsidR="00647488" w:rsidRPr="00C577BA" w:rsidRDefault="00647488" w:rsidP="00647488">
            <w:pPr>
              <w:pStyle w:val="Prrafodelista"/>
              <w:numPr>
                <w:ilvl w:val="0"/>
                <w:numId w:val="27"/>
              </w:numPr>
              <w:ind w:right="567"/>
              <w:jc w:val="both"/>
              <w:rPr>
                <w:rFonts w:ascii="Arial Narrow" w:hAnsi="Arial Narrow"/>
                <w:lang w:val="es-CO"/>
              </w:rPr>
            </w:pPr>
            <w:bookmarkStart w:id="2" w:name="_Hlk116570348"/>
            <w:r w:rsidRPr="00C577BA">
              <w:rPr>
                <w:rFonts w:ascii="Arial Narrow" w:hAnsi="Arial Narrow"/>
                <w:b/>
                <w:lang w:val="es-CO"/>
              </w:rPr>
              <w:t>La ADRES pasó por alto el carácter vinculante de las estipulaciones contractuales y desconoció el principio de la buena fe en la ejecución de los contratos</w:t>
            </w:r>
          </w:p>
          <w:p w14:paraId="14028BCF" w14:textId="77777777" w:rsidR="00647488" w:rsidRPr="00C577BA" w:rsidRDefault="00647488" w:rsidP="00647488">
            <w:pPr>
              <w:pStyle w:val="Prrafodelista"/>
              <w:ind w:left="582" w:right="567"/>
              <w:jc w:val="both"/>
              <w:rPr>
                <w:rFonts w:ascii="Arial Narrow" w:hAnsi="Arial Narrow"/>
                <w:lang w:val="es-CO"/>
              </w:rPr>
            </w:pPr>
          </w:p>
          <w:p w14:paraId="40BA2F49" w14:textId="1DBEC505"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 xml:space="preserve">Señala </w:t>
            </w:r>
            <w:r>
              <w:rPr>
                <w:rFonts w:ascii="Arial Narrow" w:hAnsi="Arial Narrow"/>
                <w:lang w:val="es-CO"/>
              </w:rPr>
              <w:t>la demandante</w:t>
            </w:r>
            <w:r w:rsidRPr="00C577BA">
              <w:rPr>
                <w:rFonts w:ascii="Arial Narrow" w:hAnsi="Arial Narrow"/>
                <w:lang w:val="es-CO"/>
              </w:rPr>
              <w:t xml:space="preserve"> que la ADRES infringió los artículos 1602 y 1603 del Código Civil, 13 de la Ley 80 de 1993 y 29 de la Constitución Política al haberle impuesto al </w:t>
            </w:r>
            <w:r w:rsidRPr="003C141A">
              <w:rPr>
                <w:rFonts w:ascii="Arial Narrow" w:eastAsia="Calibri" w:hAnsi="Arial Narrow"/>
                <w:bCs/>
                <w:color w:val="000000"/>
                <w:lang w:val="es-CO"/>
              </w:rPr>
              <w:t>Consorcio SAYP 2011 una metodología para la medición del nivel de ejecución de las tareas y evaluación del cumplimiento de sus obligaciones sin que hubiera sido previamente pactada. Aduce, además, que la metodología no consulta el sentido y propósito de las funciones misionales para las cuales fue contratado el Consorcio SAYP 2011, así como tampoco atiende al balance entre derechos, obligaciones y riesgos que fue definido en la estructuración del contrato.</w:t>
            </w:r>
          </w:p>
          <w:p w14:paraId="41B4C801" w14:textId="77777777" w:rsidR="00647488" w:rsidRPr="00C577BA" w:rsidRDefault="00647488" w:rsidP="00647488">
            <w:pPr>
              <w:pStyle w:val="Prrafodelista"/>
              <w:ind w:left="582" w:right="567"/>
              <w:jc w:val="both"/>
              <w:rPr>
                <w:rFonts w:ascii="Arial Narrow" w:hAnsi="Arial Narrow"/>
                <w:lang w:val="es-CO"/>
              </w:rPr>
            </w:pPr>
          </w:p>
          <w:p w14:paraId="4F69A8F3"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La ADRES supuso, sin derecho a hacerlo, que el Consorcio SAYP 2011 incumplió obligaciones contractuales a su cargo y que por eso le generó perjuicios</w:t>
            </w:r>
          </w:p>
          <w:p w14:paraId="23836345" w14:textId="77777777" w:rsidR="00647488" w:rsidRPr="00C577BA" w:rsidRDefault="00647488" w:rsidP="00647488">
            <w:pPr>
              <w:pStyle w:val="Prrafodelista"/>
              <w:ind w:left="582" w:right="567"/>
              <w:jc w:val="both"/>
              <w:rPr>
                <w:rFonts w:ascii="Arial Narrow" w:hAnsi="Arial Narrow"/>
                <w:lang w:val="es-CO"/>
              </w:rPr>
            </w:pPr>
          </w:p>
          <w:p w14:paraId="0284249D"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 xml:space="preserve">Refiere que la no ejecución oportuna, completa o adecuada de una tarea no necesariamente constituye el incumplimiento de una obligación contractual. Para ello, se requiere un ejercicio de valoración jurídica que debe realizarse a través de los procedimientos dispuestos legalmente en el que se determina si hubo un retraso del contratista en la ejecución del contrato, si se habían dado los requisitos legales para constituir al Consorcio SAYP 2011 en mora, si hubo culpa del contratista y si tal incumplimiento le causó perjuicios. No obstante, en su posición la ADRES asumió que no debía verificar la existencia y cuantía de los perjuicios, sino que podía caracterizarlos a través de la aplicación de una metodología que valoraba la ejecución contractual. </w:t>
            </w:r>
          </w:p>
          <w:p w14:paraId="227D46A5" w14:textId="77777777" w:rsidR="00647488" w:rsidRPr="00C577BA" w:rsidRDefault="00647488" w:rsidP="00647488">
            <w:pPr>
              <w:pStyle w:val="Prrafodelista"/>
              <w:ind w:left="582" w:right="567"/>
              <w:jc w:val="both"/>
              <w:rPr>
                <w:rFonts w:ascii="Arial Narrow" w:hAnsi="Arial Narrow"/>
                <w:lang w:val="es-CO"/>
              </w:rPr>
            </w:pPr>
          </w:p>
          <w:p w14:paraId="3B0BF6D8"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La ADRES desconoció las reglas que guían la interpretación de los contratos</w:t>
            </w:r>
          </w:p>
          <w:p w14:paraId="55099136" w14:textId="77777777" w:rsidR="00647488" w:rsidRPr="00C577BA" w:rsidRDefault="00647488" w:rsidP="00647488">
            <w:pPr>
              <w:pStyle w:val="Prrafodelista"/>
              <w:ind w:left="582" w:right="567"/>
              <w:jc w:val="both"/>
              <w:rPr>
                <w:rFonts w:ascii="Arial Narrow" w:hAnsi="Arial Narrow"/>
                <w:lang w:val="es-CO"/>
              </w:rPr>
            </w:pPr>
          </w:p>
          <w:p w14:paraId="6B14AF2A" w14:textId="2A559781" w:rsidR="00647488" w:rsidRPr="00C577BA" w:rsidRDefault="00D67EE0" w:rsidP="00647488">
            <w:pPr>
              <w:pStyle w:val="Prrafodelista"/>
              <w:ind w:left="582" w:right="567"/>
              <w:jc w:val="both"/>
              <w:rPr>
                <w:rFonts w:ascii="Arial Narrow" w:hAnsi="Arial Narrow"/>
                <w:lang w:val="es-CO"/>
              </w:rPr>
            </w:pPr>
            <w:r>
              <w:rPr>
                <w:rFonts w:ascii="Arial Narrow" w:hAnsi="Arial Narrow"/>
                <w:lang w:val="es-CO"/>
              </w:rPr>
              <w:t>La demandante</w:t>
            </w:r>
            <w:r w:rsidR="00647488" w:rsidRPr="00C577BA">
              <w:rPr>
                <w:rFonts w:ascii="Arial Narrow" w:hAnsi="Arial Narrow"/>
                <w:lang w:val="es-CO"/>
              </w:rPr>
              <w:t xml:space="preserve"> aduce que la ADRES deliberadamente dejó de lado las reglas que deben guiar la interpretación de los contratos. Concretamente los artículos 1628 del Código Civil y 13 de la Ley 80 de 1993. En su posición, esta administradora pasó por alto la </w:t>
            </w:r>
            <w:r w:rsidR="00647488" w:rsidRPr="00C577BA">
              <w:rPr>
                <w:rFonts w:ascii="Arial Narrow" w:hAnsi="Arial Narrow"/>
                <w:i/>
                <w:iCs/>
                <w:lang w:val="es-CO"/>
              </w:rPr>
              <w:t xml:space="preserve">intención de los contratantes </w:t>
            </w:r>
            <w:r w:rsidR="00647488" w:rsidRPr="00C577BA">
              <w:rPr>
                <w:rFonts w:ascii="Arial Narrow" w:hAnsi="Arial Narrow"/>
                <w:lang w:val="es-CO"/>
              </w:rPr>
              <w:t xml:space="preserve">para reemplazarla por unas propias valoraciones </w:t>
            </w:r>
            <w:r w:rsidR="00647488" w:rsidRPr="00C577BA">
              <w:rPr>
                <w:rFonts w:ascii="Arial Narrow" w:hAnsi="Arial Narrow"/>
                <w:i/>
                <w:iCs/>
                <w:lang w:val="es-CO"/>
              </w:rPr>
              <w:t xml:space="preserve">ex post. </w:t>
            </w:r>
            <w:r w:rsidR="00647488" w:rsidRPr="00C577BA">
              <w:rPr>
                <w:rFonts w:ascii="Arial Narrow" w:hAnsi="Arial Narrow"/>
                <w:lang w:val="es-CO"/>
              </w:rPr>
              <w:t xml:space="preserve">También pasó por alto el efecto que debían producir varias de las estipulaciones contractuales, como son las relacionadas con los apremios y consecuencias de un incumplimiento. Finalmente, manifiesta que la ADRES adujo presuntos incumplimientos que en la etapa de la ejecución del contrato no hizo notar al Consorcio SAYP 2011. </w:t>
            </w:r>
          </w:p>
          <w:p w14:paraId="1390C357" w14:textId="77777777" w:rsidR="00647488" w:rsidRPr="00C577BA" w:rsidRDefault="00647488" w:rsidP="00647488">
            <w:pPr>
              <w:pStyle w:val="Prrafodelista"/>
              <w:ind w:left="582" w:right="567"/>
              <w:jc w:val="both"/>
              <w:rPr>
                <w:rFonts w:ascii="Arial Narrow" w:hAnsi="Arial Narrow"/>
                <w:lang w:val="es-CO"/>
              </w:rPr>
            </w:pPr>
          </w:p>
          <w:p w14:paraId="33A2956E"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La ADRES supuso, sin derecho a hacerlo, que el pretendido incumplimiento en el que el Consorcio SAYP 2011 habría incurrido, le generó perjuicios</w:t>
            </w:r>
          </w:p>
          <w:p w14:paraId="7F4B78F8" w14:textId="77777777" w:rsidR="00647488" w:rsidRPr="00C577BA" w:rsidRDefault="00647488" w:rsidP="00647488">
            <w:pPr>
              <w:pStyle w:val="Prrafodelista"/>
              <w:ind w:left="582" w:right="567"/>
              <w:jc w:val="both"/>
              <w:rPr>
                <w:rFonts w:ascii="Arial Narrow" w:hAnsi="Arial Narrow"/>
                <w:lang w:val="es-CO"/>
              </w:rPr>
            </w:pPr>
          </w:p>
          <w:p w14:paraId="0D6CC466"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Sostiene que la metodología construida por JAHV McGregor S.A. no permite determinar si el Consorcio SAYP 2011 podría haber incurrido en algún incumplimiento ni mucho menos valorar el perjuicio que tal incumplimiento podría haberle causado a la ADRES. El simple hecho de que el Consorcio SAYP 2011 hubiera dejado de ejecutar integra, adecuada y oportunamente una o más de las tareas a su cargo no conllevaban necesariamente a un daño. La ADRES debía demostrar primero que existían unos daños para luego proceder a cuantificarlos. No obstante, con la aplicación de la metodología se infringieron las normas que rigen los contratos estatales para el reclamo de indemnizaciones como consecuencia del incumplimiento de las obligaciones contractuales, puesto que se eximió la obligación que tenía la entidad de demostrar el daño presuntamente sufrido.</w:t>
            </w:r>
          </w:p>
          <w:p w14:paraId="20B72BBD" w14:textId="77777777" w:rsidR="00647488" w:rsidRPr="00C577BA" w:rsidRDefault="00647488" w:rsidP="00647488">
            <w:pPr>
              <w:pStyle w:val="Prrafodelista"/>
              <w:ind w:left="582" w:right="567"/>
              <w:jc w:val="both"/>
              <w:rPr>
                <w:rFonts w:ascii="Arial Narrow" w:hAnsi="Arial Narrow"/>
                <w:lang w:val="es-CO"/>
              </w:rPr>
            </w:pPr>
          </w:p>
          <w:p w14:paraId="2E15AB5B"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Al no haber decretado las pruebas pedidas por el Consorcio SAYP 2011 al recurrir la Resolución 544 de 2021, la ADRES vulneró los artículos 40, 42, 77 y 79 del CPACA, en concordancia con los artículos 227 y 275 del Código General del Proceso</w:t>
            </w:r>
          </w:p>
          <w:p w14:paraId="105B96A8" w14:textId="77777777" w:rsidR="00647488" w:rsidRPr="00C577BA" w:rsidRDefault="00647488" w:rsidP="00647488">
            <w:pPr>
              <w:pStyle w:val="Prrafodelista"/>
              <w:ind w:left="582" w:right="567"/>
              <w:jc w:val="both"/>
              <w:rPr>
                <w:rFonts w:ascii="Arial Narrow" w:hAnsi="Arial Narrow"/>
                <w:lang w:val="es-CO"/>
              </w:rPr>
            </w:pPr>
          </w:p>
          <w:p w14:paraId="24AF6148"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Indica que la ADRES negó la prueba de informe erróneamente al considerar que lo que se buscaba era un pronunciamiento relacionado con la interpretación jurídica de aspectos relacionados con las normas atinentes a la celebración de contratos asociados a la suscripción y liquidación de un contrato estatal. No obstante, este se refería a hechos y guías de Colombia Compra Eficiente, el cual no corresponde a una mera constatación de un archivo público.</w:t>
            </w:r>
          </w:p>
          <w:p w14:paraId="7733CE1C" w14:textId="77777777" w:rsidR="00647488" w:rsidRPr="00C577BA" w:rsidRDefault="00647488" w:rsidP="00647488">
            <w:pPr>
              <w:pStyle w:val="Prrafodelista"/>
              <w:ind w:left="582" w:right="567"/>
              <w:jc w:val="both"/>
              <w:rPr>
                <w:rFonts w:ascii="Arial Narrow" w:hAnsi="Arial Narrow"/>
                <w:lang w:val="es-CO"/>
              </w:rPr>
            </w:pPr>
          </w:p>
          <w:p w14:paraId="197708E7"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 xml:space="preserve">En cuanto al dictamen pericial, aduce que este fue negado debido a que la ADRES ya no contaba con tiempo suficiente para concluir la actuación administrativa antes de que perdiera competencia para liquidar el contrato. Aduce que la negativa de la prueba se funda en una negligencia de la ADRES, quien pudo haber decretado la prueba si hubiera resuelto el recurso en tiempo. </w:t>
            </w:r>
          </w:p>
          <w:p w14:paraId="069D3BCC" w14:textId="77777777" w:rsidR="00647488" w:rsidRPr="00C577BA" w:rsidRDefault="00647488" w:rsidP="00647488">
            <w:pPr>
              <w:pStyle w:val="Prrafodelista"/>
              <w:ind w:left="582" w:right="567"/>
              <w:jc w:val="both"/>
              <w:rPr>
                <w:rFonts w:ascii="Arial Narrow" w:hAnsi="Arial Narrow"/>
                <w:lang w:val="es-CO"/>
              </w:rPr>
            </w:pPr>
          </w:p>
          <w:p w14:paraId="590BA539"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La ADRES dejó de aplicar la regla de proporcionalidad frente a la cláusula penal</w:t>
            </w:r>
          </w:p>
          <w:p w14:paraId="2ECE6AAD" w14:textId="77777777" w:rsidR="00647488" w:rsidRPr="00C577BA" w:rsidRDefault="00647488" w:rsidP="00647488">
            <w:pPr>
              <w:pStyle w:val="Prrafodelista"/>
              <w:ind w:left="582" w:right="567"/>
              <w:jc w:val="both"/>
              <w:rPr>
                <w:rFonts w:ascii="Arial Narrow" w:hAnsi="Arial Narrow"/>
                <w:lang w:val="es-CO"/>
              </w:rPr>
            </w:pPr>
          </w:p>
          <w:p w14:paraId="3FDF4910" w14:textId="77777777" w:rsidR="00647488" w:rsidRPr="003C141A" w:rsidRDefault="00647488" w:rsidP="00647488">
            <w:pPr>
              <w:pStyle w:val="Prrafodelista"/>
              <w:ind w:left="582" w:right="567"/>
              <w:jc w:val="both"/>
              <w:rPr>
                <w:rFonts w:ascii="Arial Narrow" w:eastAsia="Calibri" w:hAnsi="Arial Narrow"/>
                <w:bCs/>
                <w:i/>
                <w:iCs/>
                <w:color w:val="000000"/>
                <w:lang w:val="es-CO"/>
              </w:rPr>
            </w:pPr>
            <w:r w:rsidRPr="00C577BA">
              <w:rPr>
                <w:rFonts w:ascii="Arial Narrow" w:hAnsi="Arial Narrow"/>
                <w:lang w:val="es-CO"/>
              </w:rPr>
              <w:t xml:space="preserve">Al respecto, señala que si el Consorcio SAYP hubiere incumplido alguna de sus obligaciones contractuales lo procedente era haber aplicado la cláusula penal pecuniaria establecida en el </w:t>
            </w:r>
            <w:r w:rsidRPr="003C141A">
              <w:rPr>
                <w:rFonts w:ascii="Arial Narrow" w:eastAsia="Calibri" w:hAnsi="Arial Narrow"/>
                <w:bCs/>
                <w:color w:val="000000"/>
                <w:lang w:val="es-CO"/>
              </w:rPr>
              <w:t xml:space="preserve">contrato de encargo fiduciario N.° 467 de 2011. En esta se pacta que para los casos de incumplimiento total o parcial el consorcio pagará el 25% del valor del contrato como estimación anticipada de perjuicios. Ahora bien, para su aplicación se debía tener en cuenta el artículo 1596 del Código Civil que refiere que </w:t>
            </w:r>
            <w:r w:rsidRPr="00C577BA">
              <w:rPr>
                <w:rFonts w:ascii="Arial Narrow" w:eastAsia="Calibri" w:hAnsi="Arial Narrow"/>
                <w:bCs/>
                <w:i/>
                <w:iCs/>
                <w:color w:val="000000"/>
                <w:lang w:val="es-CO"/>
              </w:rPr>
              <w:t>“Si el deudor cumple solamente una parte de la obligación principal y el acreedor acepta esta parte, tendrá derecho para que se rebaje proporcionalmente la pena estipulada por falta de cumplimiento de la obligación principal”.</w:t>
            </w:r>
          </w:p>
          <w:p w14:paraId="7402B8F6" w14:textId="77777777" w:rsidR="00647488" w:rsidRPr="003C141A" w:rsidRDefault="00647488" w:rsidP="00647488">
            <w:pPr>
              <w:pStyle w:val="Prrafodelista"/>
              <w:ind w:left="582" w:right="567"/>
              <w:jc w:val="both"/>
              <w:rPr>
                <w:rFonts w:ascii="Arial Narrow" w:eastAsia="Calibri" w:hAnsi="Arial Narrow"/>
                <w:bCs/>
                <w:i/>
                <w:iCs/>
                <w:color w:val="000000"/>
                <w:lang w:val="es-CO"/>
              </w:rPr>
            </w:pPr>
          </w:p>
          <w:p w14:paraId="277EA084" w14:textId="77777777" w:rsidR="00647488" w:rsidRPr="00C577BA" w:rsidRDefault="00647488" w:rsidP="00647488">
            <w:pPr>
              <w:pStyle w:val="Prrafodelista"/>
              <w:ind w:left="582" w:right="567"/>
              <w:jc w:val="both"/>
              <w:rPr>
                <w:rFonts w:ascii="Arial Narrow" w:hAnsi="Arial Narrow"/>
                <w:lang w:val="es-CO"/>
              </w:rPr>
            </w:pPr>
            <w:r w:rsidRPr="003C141A">
              <w:rPr>
                <w:rFonts w:ascii="Arial Narrow" w:eastAsia="Calibri" w:hAnsi="Arial Narrow"/>
                <w:bCs/>
                <w:color w:val="000000"/>
                <w:lang w:val="es-CO"/>
              </w:rPr>
              <w:t>En ese sentido, en caso de que efectivamente hubiera un incumplimiento, se debió haber tenido en cuenta que el valor de la cláusula penal correspondería a $44.151.609.021 (25% del valor del contrato). Por lo tanto, dado que el incumplimiento se estimó en un 0.43%, la suma a reintegrar correspondería a $189.851.918. Valor que es muy inferior al que finalmente se determinó ordenar en las resoluciones acusadas.</w:t>
            </w:r>
          </w:p>
          <w:p w14:paraId="3FE0B834" w14:textId="77777777" w:rsidR="00647488" w:rsidRPr="00C577BA" w:rsidRDefault="00647488" w:rsidP="00647488">
            <w:pPr>
              <w:pStyle w:val="Prrafodelista"/>
              <w:ind w:left="582" w:right="567"/>
              <w:jc w:val="both"/>
              <w:rPr>
                <w:rFonts w:ascii="Arial Narrow" w:hAnsi="Arial Narrow"/>
                <w:lang w:val="es-CO"/>
              </w:rPr>
            </w:pPr>
          </w:p>
          <w:p w14:paraId="2B076AF9" w14:textId="77777777" w:rsidR="00647488" w:rsidRPr="00C577BA" w:rsidRDefault="00647488" w:rsidP="00647488">
            <w:pPr>
              <w:pStyle w:val="Prrafodelista"/>
              <w:numPr>
                <w:ilvl w:val="0"/>
                <w:numId w:val="27"/>
              </w:numPr>
              <w:ind w:right="567"/>
              <w:jc w:val="both"/>
              <w:rPr>
                <w:rFonts w:ascii="Arial Narrow" w:hAnsi="Arial Narrow"/>
                <w:b/>
                <w:bCs/>
                <w:lang w:val="es-CO"/>
              </w:rPr>
            </w:pPr>
            <w:bookmarkStart w:id="3" w:name="_Hlk116482726"/>
            <w:r w:rsidRPr="00C577BA">
              <w:rPr>
                <w:rFonts w:ascii="Arial Narrow" w:hAnsi="Arial Narrow"/>
                <w:b/>
                <w:bCs/>
                <w:lang w:val="es-CO"/>
              </w:rPr>
              <w:t>Falsa motivación - Falta de mérito de los juicios de incumplimiento emitidos por JAHV McGregor S.A.</w:t>
            </w:r>
          </w:p>
          <w:p w14:paraId="569FA241" w14:textId="77777777" w:rsidR="00647488" w:rsidRPr="00C577BA" w:rsidRDefault="00647488" w:rsidP="00647488">
            <w:pPr>
              <w:pStyle w:val="Prrafodelista"/>
              <w:ind w:left="582" w:right="567"/>
              <w:jc w:val="both"/>
              <w:rPr>
                <w:rFonts w:ascii="Arial Narrow" w:hAnsi="Arial Narrow"/>
                <w:lang w:val="es-CO"/>
              </w:rPr>
            </w:pPr>
          </w:p>
          <w:p w14:paraId="4520829C"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 xml:space="preserve">Indica que la metodología aplicada para </w:t>
            </w:r>
            <w:r w:rsidRPr="003C141A">
              <w:rPr>
                <w:rFonts w:ascii="Arial Narrow" w:eastAsia="Calibri" w:hAnsi="Arial Narrow"/>
                <w:bCs/>
                <w:color w:val="000000"/>
                <w:lang w:val="es-CO"/>
              </w:rPr>
              <w:t>la medición del nivel de ejecución de las tareas y evaluación del cumplimiento de sus obligaciones presenta varias inconsistencias. Resalta que con esta se deriva más de un efecto por el pretendido incumplimiento de una misma obligación contractual y se asume que todas las tareas que componen las obligaciones dependían única y exclusivamente del Consorcio SAYP 2011. Tanto es así que la ADRES reconoció que la simple aplicación de la metodología no refleja la realidad de la ejecución del contrato de encargo fiduciario N.° 467 de 2011 al haber dado por superadas algunas obligaciones, luego de haber estudiado las consideraciones presentadas por la firma interventora.</w:t>
            </w:r>
          </w:p>
          <w:p w14:paraId="0B3F8333" w14:textId="77777777" w:rsidR="00647488" w:rsidRPr="00C577BA" w:rsidRDefault="00647488" w:rsidP="00647488">
            <w:pPr>
              <w:pStyle w:val="Prrafodelista"/>
              <w:ind w:left="582" w:right="567"/>
              <w:jc w:val="both"/>
              <w:rPr>
                <w:rFonts w:ascii="Arial Narrow" w:hAnsi="Arial Narrow"/>
                <w:b/>
                <w:bCs/>
                <w:lang w:val="es-CO"/>
              </w:rPr>
            </w:pPr>
          </w:p>
          <w:p w14:paraId="1E98FDEB" w14:textId="18CC04C1" w:rsidR="00647488" w:rsidRPr="00C577BA" w:rsidRDefault="00D67EE0" w:rsidP="00647488">
            <w:pPr>
              <w:pStyle w:val="Prrafodelista"/>
              <w:ind w:left="582" w:right="567"/>
              <w:jc w:val="both"/>
              <w:rPr>
                <w:rFonts w:ascii="Arial Narrow" w:hAnsi="Arial Narrow"/>
                <w:lang w:val="es-CO"/>
              </w:rPr>
            </w:pPr>
            <w:r>
              <w:rPr>
                <w:rFonts w:ascii="Arial Narrow" w:hAnsi="Arial Narrow"/>
                <w:lang w:val="es-CO"/>
              </w:rPr>
              <w:t>Señala</w:t>
            </w:r>
            <w:r w:rsidR="00647488" w:rsidRPr="00C577BA">
              <w:rPr>
                <w:rFonts w:ascii="Arial Narrow" w:hAnsi="Arial Narrow"/>
                <w:lang w:val="es-CO"/>
              </w:rPr>
              <w:t xml:space="preserve"> que los juicios de incumplimiento expuestos no son válidos, ya que i) las tareas que fueron incumplidas fueron ejecutadas de manera completa, adecuada y oportuna y ii) algunas tareas no pudieron ser ejecutadas de manera completa u oportuna por razones imputables al Ministerio de Salud y Protección Social o la ADRES.</w:t>
            </w:r>
          </w:p>
          <w:p w14:paraId="6E51D14C" w14:textId="77777777" w:rsidR="00647488" w:rsidRPr="00C577BA" w:rsidRDefault="00647488" w:rsidP="00647488">
            <w:pPr>
              <w:pStyle w:val="Prrafodelista"/>
              <w:ind w:left="582" w:right="567"/>
              <w:jc w:val="both"/>
              <w:rPr>
                <w:rFonts w:ascii="Arial Narrow" w:hAnsi="Arial Narrow"/>
                <w:b/>
                <w:bCs/>
                <w:lang w:val="es-CO"/>
              </w:rPr>
            </w:pPr>
          </w:p>
          <w:p w14:paraId="53D741E6"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Falsa motivación - Improcedencia de haberle impuesto al Consorcio SAYP 2011 la obligación de restituirle a la ADRES otros dineros</w:t>
            </w:r>
          </w:p>
          <w:p w14:paraId="040806F9" w14:textId="77777777" w:rsidR="00647488" w:rsidRPr="00C577BA" w:rsidRDefault="00647488" w:rsidP="00647488">
            <w:pPr>
              <w:pStyle w:val="Prrafodelista"/>
              <w:ind w:left="582" w:right="567"/>
              <w:jc w:val="both"/>
              <w:rPr>
                <w:rFonts w:ascii="Arial Narrow" w:hAnsi="Arial Narrow"/>
                <w:lang w:val="es-CO"/>
              </w:rPr>
            </w:pPr>
          </w:p>
          <w:p w14:paraId="43003FF2" w14:textId="20A0D1CF" w:rsidR="00647488" w:rsidRPr="00C577BA" w:rsidRDefault="00D67EE0" w:rsidP="00647488">
            <w:pPr>
              <w:pStyle w:val="Prrafodelista"/>
              <w:ind w:left="582" w:right="567"/>
              <w:jc w:val="both"/>
              <w:rPr>
                <w:rFonts w:ascii="Arial Narrow" w:hAnsi="Arial Narrow"/>
                <w:lang w:val="es-CO"/>
              </w:rPr>
            </w:pPr>
            <w:r>
              <w:rPr>
                <w:rFonts w:ascii="Arial Narrow" w:hAnsi="Arial Narrow"/>
                <w:lang w:val="es-CO"/>
              </w:rPr>
              <w:t>Indica la demandante</w:t>
            </w:r>
            <w:r w:rsidR="00647488" w:rsidRPr="00C577BA">
              <w:rPr>
                <w:rFonts w:ascii="Arial Narrow" w:hAnsi="Arial Narrow"/>
                <w:lang w:val="es-CO"/>
              </w:rPr>
              <w:t xml:space="preserve"> que la orden de reintegrar por embargos mal gestionados, pagarés no entregados y cheques devueltos Solsalud no procede por las siguientes razones:</w:t>
            </w:r>
          </w:p>
          <w:p w14:paraId="7BA1F74F" w14:textId="77777777" w:rsidR="00647488" w:rsidRPr="00C577BA" w:rsidRDefault="00647488" w:rsidP="00647488">
            <w:pPr>
              <w:pStyle w:val="Prrafodelista"/>
              <w:ind w:left="582" w:right="567"/>
              <w:jc w:val="both"/>
              <w:rPr>
                <w:rFonts w:ascii="Arial Narrow" w:hAnsi="Arial Narrow"/>
                <w:lang w:val="es-CO"/>
              </w:rPr>
            </w:pPr>
          </w:p>
          <w:p w14:paraId="0F998E15" w14:textId="77777777" w:rsidR="00647488" w:rsidRPr="00C577BA" w:rsidRDefault="00647488" w:rsidP="00647488">
            <w:pPr>
              <w:pStyle w:val="Prrafodelista"/>
              <w:numPr>
                <w:ilvl w:val="0"/>
                <w:numId w:val="28"/>
              </w:numPr>
              <w:ind w:right="567"/>
              <w:jc w:val="both"/>
              <w:rPr>
                <w:rFonts w:ascii="Arial Narrow" w:hAnsi="Arial Narrow"/>
                <w:lang w:val="es-CO"/>
              </w:rPr>
            </w:pPr>
            <w:bookmarkStart w:id="4" w:name="_Hlk119939834"/>
            <w:r w:rsidRPr="00C577BA">
              <w:rPr>
                <w:rFonts w:ascii="Arial Narrow" w:hAnsi="Arial Narrow"/>
                <w:lang w:val="es-CO"/>
              </w:rPr>
              <w:t xml:space="preserve">No existe ninguna diferencia entre lo que ha soportado el Consorcio SAYP 2011 en materia de embargos y </w:t>
            </w:r>
            <w:r w:rsidRPr="00C577BA">
              <w:rPr>
                <w:rFonts w:ascii="Arial Narrow" w:hAnsi="Arial Narrow"/>
                <w:lang w:val="es-CO"/>
              </w:rPr>
              <w:lastRenderedPageBreak/>
              <w:t>lo reportado en los estados financieros del FOSYGA.</w:t>
            </w:r>
          </w:p>
          <w:p w14:paraId="10EC8330"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El Consorcio SAYP 2011 le informó a la ADRES de las varias gestiones y búsquedas de los pagarés, sin encontrar evidencia que dé cuenta de que estos le fueron entregados al consorcio.</w:t>
            </w:r>
          </w:p>
          <w:p w14:paraId="5C718DD2"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La entrega de cada uno de los expedientes de los procesos de repetición no se efectuó por parte del Ministerio de Salud y Protección Social en detalle y con el estado procesal actualizado. La entrega consistió en un simple listado de procesos.</w:t>
            </w:r>
          </w:p>
          <w:p w14:paraId="0B5A92C6"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Nunca hubo una entrega formal y definitiva de los procesos por parte del Ministerio de Salud y Protección Social.</w:t>
            </w:r>
          </w:p>
          <w:p w14:paraId="2CBD7578"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En el acta de entrega se obligó a JAHV McGregor para efectivamente hacer entrega con el detalle debido y requerido para este tipo de procesos. Pero ello no se llevó a cabo.</w:t>
            </w:r>
          </w:p>
          <w:p w14:paraId="7B5057A1"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El Consorcio SAYP 2011 requirió al Ministerio de Salud y Protección Social y a JAHV McGregor para la entrega total de todos y cada uno de los expedientes objeto del cobro, incluyendo las constancias de notificación personal. Ello por cuanto de los 82 casos solo 32 tienen constancia de ejecutoria.</w:t>
            </w:r>
          </w:p>
          <w:p w14:paraId="543EAFED"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En ninguno de los expedientes se evidenció que el Ministerio de Salud y Protección Social hubiese cumplido con las cargas que le imponía la ley en materia de notificaciones.</w:t>
            </w:r>
          </w:p>
          <w:p w14:paraId="03EFFB6E"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La falta de constancia de envío por correo certificado en los expedientes pone en entredicho el cómputo de los cinco (5) años que está realizando la ADRES para determinar la responsabilidad del Consorcio SAYP 2011.</w:t>
            </w:r>
          </w:p>
          <w:p w14:paraId="288D66C1"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Según el Ministerio de Salud y Protección Social los aportes adeudados en salud y pensiones no prescriben, lo que permite que la ADRES pueda reclamarlos.</w:t>
            </w:r>
          </w:p>
          <w:p w14:paraId="53ABD201"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Respecto a los cheques devueltos por Solsalud, se debe tener en cuenta la toma de posesión de la que fue objeto la EPS. Lo que condujo a que cualquier acción de cobro jurídico no prosperara.</w:t>
            </w:r>
          </w:p>
          <w:p w14:paraId="01A44CAE"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La toma de posesión de la EPS hacía inviable el cobro de intereses y la sanción comercial.</w:t>
            </w:r>
          </w:p>
          <w:p w14:paraId="171E5A4C" w14:textId="77777777" w:rsidR="00647488" w:rsidRPr="00C577BA" w:rsidRDefault="00647488" w:rsidP="00647488">
            <w:pPr>
              <w:pStyle w:val="Prrafodelista"/>
              <w:numPr>
                <w:ilvl w:val="0"/>
                <w:numId w:val="28"/>
              </w:numPr>
              <w:ind w:right="567"/>
              <w:jc w:val="both"/>
              <w:rPr>
                <w:rFonts w:ascii="Arial Narrow" w:hAnsi="Arial Narrow"/>
                <w:lang w:val="es-CO"/>
              </w:rPr>
            </w:pPr>
            <w:r w:rsidRPr="00C577BA">
              <w:rPr>
                <w:rFonts w:ascii="Arial Narrow" w:hAnsi="Arial Narrow"/>
                <w:lang w:val="es-CO"/>
              </w:rPr>
              <w:t>El capital fue devuelto en su totalidad por la EPS Solsalud. Por lo que no se generó ningún detrimento patrimonial de los recursos del FOSYGA.</w:t>
            </w:r>
          </w:p>
          <w:bookmarkEnd w:id="4"/>
          <w:p w14:paraId="027ADA19" w14:textId="77777777" w:rsidR="00647488" w:rsidRPr="00C577BA" w:rsidRDefault="00647488" w:rsidP="00647488">
            <w:pPr>
              <w:pStyle w:val="Prrafodelista"/>
              <w:ind w:left="582" w:right="567"/>
              <w:jc w:val="both"/>
              <w:rPr>
                <w:rFonts w:ascii="Arial Narrow" w:hAnsi="Arial Narrow"/>
                <w:lang w:val="es-CO"/>
              </w:rPr>
            </w:pPr>
          </w:p>
          <w:p w14:paraId="3E0DB0CF"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Falsa motivación - Improcedencia de la obligación impuesta al CONSORCIO SAYP en relación con las imágenes no entregadas y perdidas</w:t>
            </w:r>
          </w:p>
          <w:p w14:paraId="2E44CE7B" w14:textId="77777777" w:rsidR="00647488" w:rsidRPr="00C577BA" w:rsidRDefault="00647488" w:rsidP="00647488">
            <w:pPr>
              <w:pStyle w:val="Prrafodelista"/>
              <w:ind w:left="582" w:right="567"/>
              <w:jc w:val="both"/>
              <w:rPr>
                <w:rFonts w:ascii="Arial Narrow" w:hAnsi="Arial Narrow"/>
                <w:lang w:val="es-CO"/>
              </w:rPr>
            </w:pPr>
          </w:p>
          <w:p w14:paraId="20B20C3E" w14:textId="77777777" w:rsidR="00647488" w:rsidRPr="003C141A" w:rsidRDefault="00647488" w:rsidP="00647488">
            <w:pPr>
              <w:pStyle w:val="Prrafodelista"/>
              <w:ind w:left="582" w:right="567"/>
              <w:jc w:val="both"/>
              <w:rPr>
                <w:rFonts w:ascii="Arial Narrow" w:eastAsia="Calibri" w:hAnsi="Arial Narrow"/>
                <w:bCs/>
                <w:color w:val="000000"/>
                <w:lang w:val="es-CO"/>
              </w:rPr>
            </w:pPr>
            <w:r w:rsidRPr="00C577BA">
              <w:rPr>
                <w:rFonts w:ascii="Arial Narrow" w:hAnsi="Arial Narrow"/>
                <w:lang w:val="es-CO"/>
              </w:rPr>
              <w:t xml:space="preserve">Manifiesta que el Consorcio SAYP 2011 únicamente es responsable de aquellas reclamaciones y recobros que fueron auditados a partir de la firma del </w:t>
            </w:r>
            <w:r w:rsidRPr="003C141A">
              <w:rPr>
                <w:rFonts w:ascii="Arial Narrow" w:eastAsia="Calibri" w:hAnsi="Arial Narrow"/>
                <w:bCs/>
                <w:color w:val="000000"/>
                <w:lang w:val="es-CO"/>
              </w:rPr>
              <w:t xml:space="preserve">contrato de encargo fiduciario N.° 467 de 2011. Por lo tanto, no es posible aplicar retroactivamente la obligación 2.1.34 ni hacerse exigible a recobros y reclamaciones que se tramitaron con anterioridad a la celebración del citado contrato. </w:t>
            </w:r>
          </w:p>
          <w:p w14:paraId="698C6BE8" w14:textId="77777777" w:rsidR="00647488" w:rsidRPr="003C141A" w:rsidRDefault="00647488" w:rsidP="00647488">
            <w:pPr>
              <w:pStyle w:val="Prrafodelista"/>
              <w:ind w:left="582" w:right="567"/>
              <w:jc w:val="both"/>
              <w:rPr>
                <w:rFonts w:ascii="Arial Narrow" w:eastAsia="Calibri" w:hAnsi="Arial Narrow"/>
                <w:bCs/>
                <w:color w:val="000000"/>
                <w:lang w:val="es-CO"/>
              </w:rPr>
            </w:pPr>
          </w:p>
          <w:p w14:paraId="4B1484C3" w14:textId="77777777" w:rsidR="00647488" w:rsidRPr="00C577BA" w:rsidRDefault="00647488" w:rsidP="00647488">
            <w:pPr>
              <w:pStyle w:val="Prrafodelista"/>
              <w:ind w:left="582" w:right="567"/>
              <w:jc w:val="both"/>
              <w:rPr>
                <w:rFonts w:ascii="Arial Narrow" w:hAnsi="Arial Narrow"/>
                <w:lang w:val="es-CO"/>
              </w:rPr>
            </w:pPr>
            <w:r w:rsidRPr="003C141A">
              <w:rPr>
                <w:rFonts w:ascii="Arial Narrow" w:eastAsia="Calibri" w:hAnsi="Arial Narrow"/>
                <w:bCs/>
                <w:color w:val="000000"/>
                <w:lang w:val="es-CO"/>
              </w:rPr>
              <w:t xml:space="preserve">Indica, además, que en los pliegos de condiciones del contrato de encargo fiduciario N.° 467 de 2011 el Ministerio de Salud y Protección Social anunció que la versión del Sistema de Gestión Documental (SGD) era la 6.5. y que esta funcionaba sobre el sistema operativo Windows 2013. No obstante, no era posible que el SGD versión 6.5 operara con los sistemas operativos Windows Server 2008 R2 Enterprise y el motor de base SQL SERVER 2008 R2 que empleaba el FOSYGA. Lo que conllevó a que el </w:t>
            </w:r>
            <w:r w:rsidRPr="00C577BA">
              <w:rPr>
                <w:rFonts w:ascii="Arial Narrow" w:hAnsi="Arial Narrow"/>
                <w:lang w:val="es-CO"/>
              </w:rPr>
              <w:t xml:space="preserve">Consorcio SAYP 2011 le solicitará al Ministerio </w:t>
            </w:r>
            <w:r w:rsidRPr="003C141A">
              <w:rPr>
                <w:rFonts w:ascii="Arial Narrow" w:eastAsia="Calibri" w:hAnsi="Arial Narrow"/>
                <w:bCs/>
                <w:color w:val="000000"/>
                <w:lang w:val="es-CO"/>
              </w:rPr>
              <w:t>de Salud y Protección Social que adquiriera la versión 7.0 del SGD y se procediera a realizar la migración de la información disponible.</w:t>
            </w:r>
          </w:p>
          <w:p w14:paraId="6D3612BD" w14:textId="77777777" w:rsidR="00647488" w:rsidRPr="00C577BA" w:rsidRDefault="00647488" w:rsidP="00647488">
            <w:pPr>
              <w:pStyle w:val="Prrafodelista"/>
              <w:ind w:left="582" w:right="567"/>
              <w:jc w:val="both"/>
              <w:rPr>
                <w:rFonts w:ascii="Arial Narrow" w:hAnsi="Arial Narrow"/>
                <w:lang w:val="es-CO"/>
              </w:rPr>
            </w:pPr>
          </w:p>
          <w:p w14:paraId="4E79DE10" w14:textId="77777777" w:rsidR="00647488" w:rsidRPr="006271E1" w:rsidRDefault="00647488" w:rsidP="00647488">
            <w:pPr>
              <w:pStyle w:val="Prrafodelista"/>
              <w:ind w:left="582" w:right="567"/>
              <w:jc w:val="both"/>
              <w:rPr>
                <w:rFonts w:ascii="Arial Narrow" w:hAnsi="Arial Narrow"/>
                <w:b/>
                <w:bCs/>
                <w:lang w:val="es-CO"/>
              </w:rPr>
            </w:pPr>
            <w:r w:rsidRPr="00C577BA">
              <w:rPr>
                <w:rFonts w:ascii="Arial Narrow" w:hAnsi="Arial Narrow"/>
                <w:lang w:val="es-CO"/>
              </w:rPr>
              <w:t>Solamente hasta el 5 de agosto de 2015 el Ministerio de Salud y Protección Social tomó la decisión de adquirir la versión 7.0 del SGD y migrar la información ahí contenida. Por lo tanto, se procedió a contratar al proveedor MEGAGROUP LTDA para adquirir la versión enunciada. Ya el 8 de diciembre de 2015 se materializó uno de los riesgos en el aplicativo SGD, por lo que el Consorcio SAYP 2011 inici</w:t>
            </w:r>
            <w:r>
              <w:rPr>
                <w:rFonts w:ascii="Arial Narrow" w:hAnsi="Arial Narrow"/>
                <w:lang w:val="es-CO"/>
              </w:rPr>
              <w:t xml:space="preserve">ó </w:t>
            </w:r>
            <w:r w:rsidRPr="00C577BA">
              <w:rPr>
                <w:rFonts w:ascii="Arial Narrow" w:hAnsi="Arial Narrow"/>
                <w:lang w:val="es-CO"/>
              </w:rPr>
              <w:t xml:space="preserve">un trabajo para tratar de recuperar los archivos de la unidad de 11 TB. Lo que evidencia que </w:t>
            </w:r>
            <w:r w:rsidRPr="006271E1">
              <w:rPr>
                <w:rFonts w:ascii="Arial Narrow" w:hAnsi="Arial Narrow"/>
                <w:b/>
                <w:bCs/>
                <w:lang w:val="es-CO"/>
              </w:rPr>
              <w:t>la perdida de las imágenes se da por demora y omisión atribuible únicamente al Ministerio de Salud y Protección Social.</w:t>
            </w:r>
          </w:p>
          <w:bookmarkEnd w:id="3"/>
          <w:p w14:paraId="3448D9F7" w14:textId="77777777" w:rsidR="00647488" w:rsidRPr="00C577BA" w:rsidRDefault="00647488" w:rsidP="00647488">
            <w:pPr>
              <w:pStyle w:val="Prrafodelista"/>
              <w:ind w:left="582" w:right="567"/>
              <w:jc w:val="both"/>
              <w:rPr>
                <w:rFonts w:ascii="Arial Narrow" w:hAnsi="Arial Narrow"/>
                <w:lang w:val="es-CO"/>
              </w:rPr>
            </w:pPr>
          </w:p>
          <w:p w14:paraId="69DE9D83"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Falta de competencia de la ADRES para liquidar el contrato de encargo fiduciario N.° 467 de 2011</w:t>
            </w:r>
          </w:p>
          <w:p w14:paraId="1C4DA10E" w14:textId="77777777" w:rsidR="00647488" w:rsidRPr="00C577BA" w:rsidRDefault="00647488" w:rsidP="00647488">
            <w:pPr>
              <w:pStyle w:val="Prrafodelista"/>
              <w:ind w:left="582" w:right="567"/>
              <w:jc w:val="both"/>
              <w:rPr>
                <w:rFonts w:ascii="Arial Narrow" w:hAnsi="Arial Narrow"/>
                <w:lang w:val="es-CO"/>
              </w:rPr>
            </w:pPr>
          </w:p>
          <w:p w14:paraId="6928503A" w14:textId="77777777" w:rsidR="00647488" w:rsidRPr="00C577BA" w:rsidRDefault="00647488" w:rsidP="00647488">
            <w:pPr>
              <w:pStyle w:val="Prrafodelista"/>
              <w:ind w:left="582" w:right="567"/>
              <w:jc w:val="both"/>
              <w:rPr>
                <w:rFonts w:ascii="Arial Narrow" w:hAnsi="Arial Narrow"/>
                <w:lang w:val="es-CO"/>
              </w:rPr>
            </w:pPr>
            <w:r w:rsidRPr="00C577BA">
              <w:rPr>
                <w:rFonts w:ascii="Arial Narrow" w:hAnsi="Arial Narrow"/>
                <w:lang w:val="es-CO"/>
              </w:rPr>
              <w:t xml:space="preserve">Refiere que la ADRES computó el plazo desde la suscripción del acta de recibo final y no desde la terminación del </w:t>
            </w:r>
            <w:r w:rsidRPr="00C577BA">
              <w:rPr>
                <w:rFonts w:ascii="Arial Narrow" w:hAnsi="Arial Narrow"/>
                <w:lang w:val="es-CO"/>
              </w:rPr>
              <w:lastRenderedPageBreak/>
              <w:t xml:space="preserve">contrato, aduciendo que a través de la primera se fijó el punto de partida para iniciar la cuenta del término de la liquidación. No obstante, el Consorcio SAYP 2011 en ningún momento dio consentimiento para fijar dicho punto de partida. El acta en concreto se suscribió dado que así estaba previsto en el </w:t>
            </w:r>
            <w:r w:rsidRPr="003C141A">
              <w:rPr>
                <w:rFonts w:ascii="Arial Narrow" w:eastAsia="Calibri" w:hAnsi="Arial Narrow"/>
                <w:bCs/>
                <w:color w:val="000000"/>
                <w:lang w:val="es-CO"/>
              </w:rPr>
              <w:t>contrato de encargo fiduciario N.° 467 de 2011. De ahí que la ADRES haya incurrido en el vicio conocido como falta de competencia temporal.</w:t>
            </w:r>
          </w:p>
          <w:p w14:paraId="412B7586" w14:textId="77777777" w:rsidR="00D67EE0" w:rsidRPr="00D67EE0" w:rsidRDefault="00D67EE0" w:rsidP="00D67EE0">
            <w:pPr>
              <w:ind w:right="567"/>
              <w:jc w:val="both"/>
              <w:rPr>
                <w:rFonts w:ascii="Arial Narrow" w:hAnsi="Arial Narrow"/>
                <w:lang w:val="es-CO"/>
              </w:rPr>
            </w:pPr>
          </w:p>
          <w:p w14:paraId="2DB06F35" w14:textId="77777777" w:rsidR="00647488" w:rsidRPr="00C577BA" w:rsidRDefault="00647488" w:rsidP="00647488">
            <w:pPr>
              <w:pStyle w:val="Prrafodelista"/>
              <w:numPr>
                <w:ilvl w:val="0"/>
                <w:numId w:val="27"/>
              </w:numPr>
              <w:ind w:right="567"/>
              <w:jc w:val="both"/>
              <w:rPr>
                <w:rFonts w:ascii="Arial Narrow" w:hAnsi="Arial Narrow"/>
                <w:b/>
                <w:bCs/>
                <w:lang w:val="es-CO"/>
              </w:rPr>
            </w:pPr>
            <w:r w:rsidRPr="00C577BA">
              <w:rPr>
                <w:rFonts w:ascii="Arial Narrow" w:hAnsi="Arial Narrow"/>
                <w:b/>
                <w:bCs/>
                <w:lang w:val="es-CO"/>
              </w:rPr>
              <w:t>Falta de vinculación del garante</w:t>
            </w:r>
          </w:p>
          <w:p w14:paraId="64A70D75" w14:textId="77777777" w:rsidR="00647488" w:rsidRPr="00C577BA" w:rsidRDefault="00647488" w:rsidP="00647488">
            <w:pPr>
              <w:pStyle w:val="Prrafodelista"/>
              <w:ind w:left="582" w:right="567"/>
              <w:jc w:val="both"/>
              <w:rPr>
                <w:rFonts w:ascii="Arial Narrow" w:hAnsi="Arial Narrow"/>
                <w:lang w:val="es-CO"/>
              </w:rPr>
            </w:pPr>
          </w:p>
          <w:p w14:paraId="77BC2D19" w14:textId="77777777" w:rsidR="00647488" w:rsidRPr="00C577BA" w:rsidRDefault="00647488" w:rsidP="004920AE">
            <w:pPr>
              <w:pStyle w:val="Prrafodelista"/>
              <w:ind w:left="589" w:right="567"/>
              <w:jc w:val="both"/>
              <w:rPr>
                <w:rFonts w:ascii="Arial Narrow" w:hAnsi="Arial Narrow"/>
                <w:lang w:val="es-CO"/>
              </w:rPr>
            </w:pPr>
            <w:r w:rsidRPr="00C577BA">
              <w:rPr>
                <w:rFonts w:ascii="Arial Narrow" w:hAnsi="Arial Narrow"/>
                <w:lang w:val="es-CO"/>
              </w:rPr>
              <w:t>Se indica que el Consorcio SAYP 2011 tomó una póliza de seguro de cumplimiento para entidades estatales. La cual se ha mantenido vigente por solicitud expresa de la ADRES. No obstante, cuando se ha declarado que el contratista incumplió varias obligaciones no se ha empleado el amparo de cumplimiento. Por lo tanto, le correspondía a la ADRES, como asegurado y beneficiario reclamar la exigibilidad de la obligación condicional del asegurador.</w:t>
            </w:r>
          </w:p>
          <w:bookmarkEnd w:id="2"/>
          <w:p w14:paraId="74075060" w14:textId="1710FF38" w:rsidR="004B7EA7" w:rsidRDefault="004B7EA7" w:rsidP="00AA646B">
            <w:pPr>
              <w:ind w:right="567"/>
              <w:jc w:val="both"/>
              <w:rPr>
                <w:rFonts w:ascii="Arial Narrow" w:hAnsi="Arial Narrow"/>
                <w:color w:val="FF0000"/>
                <w:lang w:val="es-CO"/>
              </w:rPr>
            </w:pPr>
          </w:p>
          <w:p w14:paraId="78AAD5A2" w14:textId="075B2E83" w:rsidR="008957FE" w:rsidRDefault="00F920C6" w:rsidP="00C94264">
            <w:pPr>
              <w:pStyle w:val="TableParagraph"/>
              <w:numPr>
                <w:ilvl w:val="0"/>
                <w:numId w:val="2"/>
              </w:numPr>
              <w:tabs>
                <w:tab w:val="left" w:pos="584"/>
              </w:tabs>
              <w:ind w:right="567"/>
              <w:jc w:val="both"/>
              <w:rPr>
                <w:rFonts w:ascii="Arial Narrow" w:hAnsi="Arial Narrow"/>
                <w:b/>
                <w:bCs/>
                <w:color w:val="000000" w:themeColor="text1"/>
                <w:lang w:val="es-CO"/>
              </w:rPr>
            </w:pPr>
            <w:r w:rsidRPr="00C94264">
              <w:rPr>
                <w:rFonts w:ascii="Arial Narrow" w:hAnsi="Arial Narrow"/>
                <w:b/>
                <w:bCs/>
                <w:color w:val="000000" w:themeColor="text1"/>
                <w:lang w:val="es-CO"/>
              </w:rPr>
              <w:t xml:space="preserve">Reconsideración </w:t>
            </w:r>
            <w:r>
              <w:rPr>
                <w:rFonts w:ascii="Arial Narrow" w:hAnsi="Arial Narrow"/>
                <w:b/>
                <w:bCs/>
                <w:color w:val="000000" w:themeColor="text1"/>
                <w:lang w:val="es-CO"/>
              </w:rPr>
              <w:t>del a</w:t>
            </w:r>
            <w:r w:rsidRPr="00C94264">
              <w:rPr>
                <w:rFonts w:ascii="Arial Narrow" w:hAnsi="Arial Narrow"/>
                <w:b/>
                <w:bCs/>
                <w:color w:val="000000" w:themeColor="text1"/>
                <w:lang w:val="es-CO"/>
              </w:rPr>
              <w:t xml:space="preserve">cuerdo </w:t>
            </w:r>
            <w:r>
              <w:rPr>
                <w:rFonts w:ascii="Arial Narrow" w:hAnsi="Arial Narrow"/>
                <w:b/>
                <w:bCs/>
                <w:color w:val="000000" w:themeColor="text1"/>
                <w:lang w:val="es-CO"/>
              </w:rPr>
              <w:t>c</w:t>
            </w:r>
            <w:r w:rsidRPr="00C94264">
              <w:rPr>
                <w:rFonts w:ascii="Arial Narrow" w:hAnsi="Arial Narrow"/>
                <w:b/>
                <w:bCs/>
                <w:color w:val="000000" w:themeColor="text1"/>
                <w:lang w:val="es-CO"/>
              </w:rPr>
              <w:t xml:space="preserve">onciliatorio </w:t>
            </w:r>
            <w:r>
              <w:rPr>
                <w:rFonts w:ascii="Arial Narrow" w:hAnsi="Arial Narrow"/>
                <w:b/>
                <w:bCs/>
                <w:color w:val="000000" w:themeColor="text1"/>
                <w:lang w:val="es-CO"/>
              </w:rPr>
              <w:t xml:space="preserve">aprobado </w:t>
            </w:r>
            <w:r>
              <w:rPr>
                <w:rFonts w:ascii="Arial Narrow" w:hAnsi="Arial Narrow"/>
                <w:b/>
                <w:bCs/>
                <w:color w:val="000000" w:themeColor="text1"/>
                <w:lang w:val="es-MX"/>
              </w:rPr>
              <w:t>s</w:t>
            </w:r>
            <w:r w:rsidRPr="00C94264">
              <w:rPr>
                <w:rFonts w:ascii="Arial Narrow" w:hAnsi="Arial Narrow"/>
                <w:b/>
                <w:bCs/>
                <w:color w:val="000000" w:themeColor="text1"/>
                <w:lang w:val="es-MX"/>
              </w:rPr>
              <w:t xml:space="preserve">esión </w:t>
            </w:r>
            <w:r>
              <w:rPr>
                <w:rFonts w:ascii="Arial Narrow" w:hAnsi="Arial Narrow"/>
                <w:b/>
                <w:bCs/>
                <w:color w:val="000000" w:themeColor="text1"/>
                <w:lang w:val="es-MX"/>
              </w:rPr>
              <w:t>e</w:t>
            </w:r>
            <w:r w:rsidRPr="00C94264">
              <w:rPr>
                <w:rFonts w:ascii="Arial Narrow" w:hAnsi="Arial Narrow"/>
                <w:b/>
                <w:bCs/>
                <w:color w:val="000000" w:themeColor="text1"/>
                <w:lang w:val="es-MX"/>
              </w:rPr>
              <w:t>xtraordinaria No</w:t>
            </w:r>
            <w:r>
              <w:rPr>
                <w:rFonts w:ascii="Arial Narrow" w:hAnsi="Arial Narrow"/>
                <w:b/>
                <w:bCs/>
                <w:color w:val="000000" w:themeColor="text1"/>
                <w:lang w:val="es-MX"/>
              </w:rPr>
              <w:t xml:space="preserve">. </w:t>
            </w:r>
            <w:r w:rsidRPr="00C94264">
              <w:rPr>
                <w:rFonts w:ascii="Arial Narrow" w:hAnsi="Arial Narrow"/>
                <w:b/>
                <w:bCs/>
                <w:color w:val="000000" w:themeColor="text1"/>
                <w:lang w:val="es-MX"/>
              </w:rPr>
              <w:t xml:space="preserve">121 </w:t>
            </w:r>
            <w:r>
              <w:rPr>
                <w:rFonts w:ascii="Arial Narrow" w:hAnsi="Arial Narrow"/>
                <w:b/>
                <w:bCs/>
                <w:color w:val="000000" w:themeColor="text1"/>
                <w:lang w:val="es-MX"/>
              </w:rPr>
              <w:t>del 29 de n</w:t>
            </w:r>
            <w:r w:rsidRPr="00C94264">
              <w:rPr>
                <w:rFonts w:ascii="Arial Narrow" w:hAnsi="Arial Narrow"/>
                <w:b/>
                <w:bCs/>
                <w:color w:val="000000" w:themeColor="text1"/>
                <w:lang w:val="es-MX"/>
              </w:rPr>
              <w:t xml:space="preserve">oviembre </w:t>
            </w:r>
            <w:r>
              <w:rPr>
                <w:rFonts w:ascii="Arial Narrow" w:hAnsi="Arial Narrow"/>
                <w:b/>
                <w:bCs/>
                <w:color w:val="000000" w:themeColor="text1"/>
                <w:lang w:val="es-MX"/>
              </w:rPr>
              <w:t xml:space="preserve">de </w:t>
            </w:r>
            <w:r w:rsidRPr="00C94264">
              <w:rPr>
                <w:rFonts w:ascii="Arial Narrow" w:hAnsi="Arial Narrow"/>
                <w:b/>
                <w:bCs/>
                <w:color w:val="000000" w:themeColor="text1"/>
                <w:lang w:val="es-MX"/>
              </w:rPr>
              <w:t>2022</w:t>
            </w:r>
            <w:r w:rsidRPr="00C94264">
              <w:rPr>
                <w:rFonts w:ascii="Arial Narrow" w:hAnsi="Arial Narrow"/>
                <w:b/>
                <w:bCs/>
                <w:color w:val="000000" w:themeColor="text1"/>
                <w:lang w:val="es-CO"/>
              </w:rPr>
              <w:t xml:space="preserve"> </w:t>
            </w:r>
          </w:p>
          <w:p w14:paraId="473E4193" w14:textId="77777777" w:rsidR="008957FE" w:rsidRPr="004F5FA4" w:rsidRDefault="008957FE" w:rsidP="00301E50">
            <w:pPr>
              <w:pStyle w:val="TableParagraph"/>
              <w:tabs>
                <w:tab w:val="left" w:pos="584"/>
              </w:tabs>
              <w:ind w:left="720" w:right="567"/>
              <w:jc w:val="both"/>
              <w:rPr>
                <w:rFonts w:ascii="Arial Narrow" w:hAnsi="Arial Narrow"/>
                <w:lang w:val="es-CO"/>
              </w:rPr>
            </w:pPr>
          </w:p>
          <w:p w14:paraId="34BFEDE9" w14:textId="35F618B5" w:rsidR="00301E50" w:rsidRPr="00301E50" w:rsidRDefault="002B1632" w:rsidP="008848D1">
            <w:pPr>
              <w:pStyle w:val="TableParagraph"/>
              <w:tabs>
                <w:tab w:val="left" w:pos="584"/>
              </w:tabs>
              <w:ind w:left="720" w:right="567"/>
              <w:jc w:val="both"/>
              <w:rPr>
                <w:rFonts w:ascii="Arial Narrow" w:hAnsi="Arial Narrow"/>
                <w:lang w:val="es-CO"/>
              </w:rPr>
            </w:pPr>
            <w:r>
              <w:rPr>
                <w:rFonts w:ascii="Arial Narrow" w:hAnsi="Arial Narrow"/>
                <w:lang w:val="es-CO"/>
              </w:rPr>
              <w:t xml:space="preserve">En sesión extraordinaria No. 168 celebrada el </w:t>
            </w:r>
            <w:r w:rsidR="00BE2108">
              <w:rPr>
                <w:rFonts w:ascii="Arial Narrow" w:hAnsi="Arial Narrow"/>
                <w:lang w:val="es-CO"/>
              </w:rPr>
              <w:t xml:space="preserve">31 de mayo de 2024 se </w:t>
            </w:r>
            <w:r w:rsidR="00110CF2">
              <w:rPr>
                <w:rFonts w:ascii="Arial Narrow" w:hAnsi="Arial Narrow"/>
                <w:lang w:val="es-CO"/>
              </w:rPr>
              <w:t xml:space="preserve">indicó que era procedente estudiar la decisión de </w:t>
            </w:r>
            <w:r w:rsidR="00301E50" w:rsidRPr="00301E50">
              <w:rPr>
                <w:rFonts w:ascii="Arial Narrow" w:hAnsi="Arial Narrow"/>
                <w:lang w:val="es-CO"/>
              </w:rPr>
              <w:t>conciliación</w:t>
            </w:r>
            <w:r w:rsidR="004314C1">
              <w:rPr>
                <w:rFonts w:ascii="Arial Narrow" w:hAnsi="Arial Narrow"/>
                <w:lang w:val="es-CO"/>
              </w:rPr>
              <w:t xml:space="preserve"> adoptada en </w:t>
            </w:r>
            <w:r w:rsidR="004314C1" w:rsidRPr="004314C1">
              <w:rPr>
                <w:rFonts w:ascii="Arial Narrow" w:hAnsi="Arial Narrow"/>
                <w:color w:val="000000" w:themeColor="text1"/>
                <w:lang w:val="es-MX"/>
              </w:rPr>
              <w:t>sesión extraordinaria No. 121 del 29 de noviembre de 2022</w:t>
            </w:r>
            <w:r w:rsidR="004314C1" w:rsidRPr="004314C1">
              <w:rPr>
                <w:rFonts w:ascii="Arial Narrow" w:hAnsi="Arial Narrow"/>
                <w:color w:val="000000" w:themeColor="text1"/>
                <w:lang w:val="es-CO"/>
              </w:rPr>
              <w:t>,</w:t>
            </w:r>
            <w:r w:rsidR="00110CF2">
              <w:rPr>
                <w:rFonts w:ascii="Arial Narrow" w:hAnsi="Arial Narrow"/>
                <w:lang w:val="es-CO"/>
              </w:rPr>
              <w:t xml:space="preserve"> con el fin de evitar </w:t>
            </w:r>
            <w:r w:rsidR="00301E50" w:rsidRPr="00301E50">
              <w:rPr>
                <w:rFonts w:ascii="Arial Narrow" w:hAnsi="Arial Narrow"/>
                <w:lang w:val="es-CO"/>
              </w:rPr>
              <w:t>lesionar el patrimonio público, conforme a lo dispuesto en</w:t>
            </w:r>
            <w:r w:rsidR="00260F5B">
              <w:rPr>
                <w:rFonts w:ascii="Arial Narrow" w:hAnsi="Arial Narrow"/>
                <w:lang w:val="es-CO"/>
              </w:rPr>
              <w:t xml:space="preserve"> los artículos</w:t>
            </w:r>
            <w:r w:rsidR="00301E50" w:rsidRPr="00301E50">
              <w:rPr>
                <w:rFonts w:ascii="Arial Narrow" w:hAnsi="Arial Narrow"/>
                <w:lang w:val="es-CO"/>
              </w:rPr>
              <w:t>. 115, 117 y 120</w:t>
            </w:r>
            <w:r w:rsidR="006D6E05">
              <w:rPr>
                <w:rFonts w:ascii="Arial Narrow" w:hAnsi="Arial Narrow"/>
                <w:lang w:val="es-CO"/>
              </w:rPr>
              <w:t xml:space="preserve"> de la Ley </w:t>
            </w:r>
            <w:r w:rsidR="00301E50" w:rsidRPr="00301E50">
              <w:rPr>
                <w:rFonts w:ascii="Arial Narrow" w:hAnsi="Arial Narrow"/>
                <w:lang w:val="es-CO"/>
              </w:rPr>
              <w:t>2220</w:t>
            </w:r>
            <w:r w:rsidR="006D6E05">
              <w:rPr>
                <w:rFonts w:ascii="Arial Narrow" w:hAnsi="Arial Narrow"/>
                <w:lang w:val="es-CO"/>
              </w:rPr>
              <w:t xml:space="preserve"> de 2022</w:t>
            </w:r>
            <w:r w:rsidR="006D6E05">
              <w:rPr>
                <w:rStyle w:val="Refdenotaalpie"/>
                <w:rFonts w:ascii="Arial Narrow" w:hAnsi="Arial Narrow"/>
                <w:lang w:val="es-CO"/>
              </w:rPr>
              <w:footnoteReference w:id="18"/>
            </w:r>
            <w:r w:rsidR="00212EB6">
              <w:rPr>
                <w:rFonts w:ascii="Arial Narrow" w:hAnsi="Arial Narrow"/>
                <w:lang w:val="es-CO"/>
              </w:rPr>
              <w:t xml:space="preserve">, </w:t>
            </w:r>
            <w:r w:rsidR="00260F5B">
              <w:rPr>
                <w:rFonts w:ascii="Arial Narrow" w:hAnsi="Arial Narrow"/>
                <w:lang w:val="es-CO"/>
              </w:rPr>
              <w:t>el reglamento interno del Comit</w:t>
            </w:r>
            <w:r w:rsidR="00212EB6">
              <w:rPr>
                <w:rFonts w:ascii="Arial Narrow" w:hAnsi="Arial Narrow"/>
                <w:lang w:val="es-CO"/>
              </w:rPr>
              <w:t xml:space="preserve">é y la decisión de aprobación del acuerdo conciliatorio que recae sobre el </w:t>
            </w:r>
            <w:r w:rsidR="0020771C">
              <w:rPr>
                <w:rFonts w:ascii="Arial Narrow" w:hAnsi="Arial Narrow"/>
                <w:lang w:val="es-CO"/>
              </w:rPr>
              <w:t xml:space="preserve">Ministerio Público, la Contraloría General de la República y el </w:t>
            </w:r>
            <w:r w:rsidR="00212EB6">
              <w:rPr>
                <w:rFonts w:ascii="Arial Narrow" w:hAnsi="Arial Narrow"/>
                <w:lang w:val="es-CO"/>
              </w:rPr>
              <w:t xml:space="preserve">juez </w:t>
            </w:r>
            <w:r w:rsidR="004B08C4">
              <w:rPr>
                <w:rFonts w:ascii="Arial Narrow" w:hAnsi="Arial Narrow"/>
                <w:lang w:val="es-CO"/>
              </w:rPr>
              <w:t>competente</w:t>
            </w:r>
            <w:r w:rsidR="0058047C">
              <w:rPr>
                <w:rFonts w:ascii="Arial Narrow" w:hAnsi="Arial Narrow"/>
                <w:lang w:val="es-CO"/>
              </w:rPr>
              <w:t xml:space="preserve"> a la luz de lo normado en el artículo 113 ibidem</w:t>
            </w:r>
            <w:r w:rsidR="008848D1">
              <w:rPr>
                <w:rFonts w:ascii="Arial Narrow" w:hAnsi="Arial Narrow"/>
                <w:lang w:val="es-CO"/>
              </w:rPr>
              <w:t>,</w:t>
            </w:r>
            <w:r w:rsidR="00301E50" w:rsidRPr="00301E50">
              <w:rPr>
                <w:rFonts w:ascii="Arial Narrow" w:hAnsi="Arial Narrow"/>
                <w:lang w:val="es-CO"/>
              </w:rPr>
              <w:t xml:space="preserve"> sin la cual, </w:t>
            </w:r>
            <w:r w:rsidR="008848D1">
              <w:rPr>
                <w:rFonts w:ascii="Arial Narrow" w:hAnsi="Arial Narrow"/>
                <w:lang w:val="es-CO"/>
              </w:rPr>
              <w:t>el acuerdo</w:t>
            </w:r>
            <w:r w:rsidR="00301E50" w:rsidRPr="00301E50">
              <w:rPr>
                <w:rFonts w:ascii="Arial Narrow" w:hAnsi="Arial Narrow"/>
                <w:lang w:val="es-CO"/>
              </w:rPr>
              <w:t xml:space="preserve"> no surte efectos jurídicos.</w:t>
            </w:r>
          </w:p>
          <w:p w14:paraId="4216CEDF"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249F7218" w14:textId="341B7720" w:rsidR="00A96606" w:rsidRDefault="00D4772E" w:rsidP="00A96606">
            <w:pPr>
              <w:pStyle w:val="TableParagraph"/>
              <w:tabs>
                <w:tab w:val="left" w:pos="584"/>
              </w:tabs>
              <w:ind w:left="720" w:right="567"/>
              <w:jc w:val="both"/>
              <w:rPr>
                <w:rFonts w:ascii="Arial Narrow" w:hAnsi="Arial Narrow"/>
                <w:lang w:val="es-CO"/>
              </w:rPr>
            </w:pPr>
            <w:r>
              <w:rPr>
                <w:rFonts w:ascii="Arial Narrow" w:hAnsi="Arial Narrow"/>
                <w:lang w:val="es-CO"/>
              </w:rPr>
              <w:t>De acuerdo con lo anterior,</w:t>
            </w:r>
            <w:r w:rsidR="00301E50" w:rsidRPr="00301E50">
              <w:rPr>
                <w:rFonts w:ascii="Arial Narrow" w:hAnsi="Arial Narrow"/>
                <w:lang w:val="es-CO"/>
              </w:rPr>
              <w:t xml:space="preserve"> la decisión adoptada en sesión nro. 121 del 29 de noviembre de 2022 por el Comité de Conciliación de la ADRES, </w:t>
            </w:r>
            <w:r w:rsidR="00301E50" w:rsidRPr="00301E50">
              <w:rPr>
                <w:rFonts w:ascii="Arial Narrow" w:hAnsi="Arial Narrow"/>
                <w:i/>
                <w:iCs/>
                <w:lang w:val="es-CO"/>
              </w:rPr>
              <w:t>per se</w:t>
            </w:r>
            <w:r w:rsidR="00301E50" w:rsidRPr="00301E50">
              <w:rPr>
                <w:rFonts w:ascii="Arial Narrow" w:hAnsi="Arial Narrow"/>
                <w:lang w:val="es-CO"/>
              </w:rPr>
              <w:t>, no es un decisión que tenga la capacidad de constituir un acto administrativo o un negocio jurídico generador de derechos u obligaciones, pues esta instancia administrativa se limitó a recomendar la conciliación respecto de las pretensiones objeto de controversia en el trámite de conciliación extrajudicial, sin que se haya reconocido un derecho o se hubiese aceptado una obligación</w:t>
            </w:r>
            <w:r w:rsidR="007A7524">
              <w:rPr>
                <w:rFonts w:ascii="Arial Narrow" w:hAnsi="Arial Narrow"/>
                <w:lang w:val="es-CO"/>
              </w:rPr>
              <w:t>.</w:t>
            </w:r>
          </w:p>
          <w:p w14:paraId="636B7945" w14:textId="77777777" w:rsidR="00A96606" w:rsidRDefault="00A96606" w:rsidP="00A96606">
            <w:pPr>
              <w:pStyle w:val="TableParagraph"/>
              <w:tabs>
                <w:tab w:val="left" w:pos="584"/>
              </w:tabs>
              <w:ind w:left="720" w:right="567"/>
              <w:jc w:val="both"/>
              <w:rPr>
                <w:rFonts w:ascii="Arial Narrow" w:hAnsi="Arial Narrow"/>
                <w:lang w:val="es-CO"/>
              </w:rPr>
            </w:pPr>
          </w:p>
          <w:p w14:paraId="75DBE8C4" w14:textId="13E8C21C" w:rsidR="00301E50" w:rsidRPr="00301E50" w:rsidRDefault="00301E50" w:rsidP="00A96606">
            <w:pPr>
              <w:pStyle w:val="TableParagraph"/>
              <w:tabs>
                <w:tab w:val="left" w:pos="584"/>
              </w:tabs>
              <w:ind w:left="720" w:right="567"/>
              <w:jc w:val="both"/>
              <w:rPr>
                <w:rFonts w:ascii="Arial Narrow" w:hAnsi="Arial Narrow"/>
                <w:lang w:val="es-CO"/>
              </w:rPr>
            </w:pPr>
            <w:r w:rsidRPr="00301E50">
              <w:rPr>
                <w:rFonts w:ascii="Arial Narrow" w:hAnsi="Arial Narrow"/>
                <w:lang w:val="es-CO"/>
              </w:rPr>
              <w:t>Si bien</w:t>
            </w:r>
            <w:r w:rsidR="00304C8B">
              <w:rPr>
                <w:rFonts w:ascii="Arial Narrow" w:hAnsi="Arial Narrow"/>
                <w:lang w:val="es-CO"/>
              </w:rPr>
              <w:t xml:space="preserve"> en </w:t>
            </w:r>
            <w:r w:rsidRPr="00301E50">
              <w:rPr>
                <w:rFonts w:ascii="Arial Narrow" w:hAnsi="Arial Narrow"/>
                <w:lang w:val="es-CO"/>
              </w:rPr>
              <w:t>el acuerdo suscrito el 31 de mayo de 2023 se entiende revocada la Resolución 609 de 2021 y de forma parcial la Resolución 544 de 2021, lo cierto es que tal estipulación obedece a una consecuencia directa de la aprobación judicial establecida en el artículo 89 de la Ley 2220 de 2022, por lo que no se puede entender que con dicho acuerdo se haya revocado de forma automática estos actos administrativos que gozan de presunción de legalidad y ejecutoriedad</w:t>
            </w:r>
            <w:r w:rsidR="009C2E52">
              <w:rPr>
                <w:rFonts w:ascii="Arial Narrow" w:hAnsi="Arial Narrow"/>
                <w:lang w:val="es-CO"/>
              </w:rPr>
              <w:t xml:space="preserve">, así lo señaló el </w:t>
            </w:r>
            <w:r w:rsidR="009C2E52" w:rsidRPr="00301E50">
              <w:rPr>
                <w:rFonts w:ascii="Arial Narrow" w:hAnsi="Arial Narrow"/>
                <w:lang w:val="es-CO"/>
              </w:rPr>
              <w:t>Consejo de Estado</w:t>
            </w:r>
            <w:r w:rsidR="009C2E52">
              <w:rPr>
                <w:rFonts w:ascii="Arial Narrow" w:hAnsi="Arial Narrow"/>
                <w:lang w:val="es-CO"/>
              </w:rPr>
              <w:t xml:space="preserve"> mediante </w:t>
            </w:r>
            <w:r w:rsidRPr="00301E50">
              <w:rPr>
                <w:rFonts w:ascii="Arial Narrow" w:hAnsi="Arial Narrow"/>
                <w:lang w:val="es-CO"/>
              </w:rPr>
              <w:t>Auto del 22 de mayo de 2022 proferido dentro del radicado nro. 25000-23-37-000-2015-02012-01(23542)</w:t>
            </w:r>
            <w:r w:rsidR="009C2E52">
              <w:rPr>
                <w:rFonts w:ascii="Arial Narrow" w:hAnsi="Arial Narrow"/>
                <w:lang w:val="es-CO"/>
              </w:rPr>
              <w:t>.</w:t>
            </w:r>
            <w:r w:rsidRPr="00301E50">
              <w:rPr>
                <w:rFonts w:ascii="Arial Narrow" w:hAnsi="Arial Narrow"/>
                <w:lang w:val="es-CO"/>
              </w:rPr>
              <w:t xml:space="preserve"> </w:t>
            </w:r>
          </w:p>
          <w:p w14:paraId="107D8B50"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B5622F3" w14:textId="14213365" w:rsidR="00301E50" w:rsidRPr="00301E50" w:rsidRDefault="00301E50" w:rsidP="00816157">
            <w:pPr>
              <w:pStyle w:val="TableParagraph"/>
              <w:tabs>
                <w:tab w:val="left" w:pos="731"/>
              </w:tabs>
              <w:ind w:left="873" w:right="567"/>
              <w:jc w:val="both"/>
              <w:rPr>
                <w:rFonts w:ascii="Arial Narrow" w:hAnsi="Arial Narrow"/>
                <w:i/>
                <w:iCs/>
                <w:sz w:val="20"/>
                <w:szCs w:val="20"/>
                <w:lang w:val="es-CO"/>
              </w:rPr>
            </w:pPr>
            <w:r w:rsidRPr="00301E50">
              <w:rPr>
                <w:rFonts w:ascii="Arial Narrow" w:hAnsi="Arial Narrow"/>
                <w:i/>
                <w:iCs/>
                <w:sz w:val="20"/>
                <w:szCs w:val="20"/>
                <w:lang w:val="es-CO"/>
              </w:rPr>
              <w:t xml:space="preserve">“1.8.4. Dicho acuerdo, constituye una </w:t>
            </w:r>
            <w:r w:rsidRPr="00301E50">
              <w:rPr>
                <w:rFonts w:ascii="Arial Narrow" w:hAnsi="Arial Narrow"/>
                <w:b/>
                <w:i/>
                <w:iCs/>
                <w:sz w:val="20"/>
                <w:szCs w:val="20"/>
                <w:lang w:val="es-CO"/>
              </w:rPr>
              <w:t>fuente de derechos</w:t>
            </w:r>
            <w:r w:rsidRPr="00301E50">
              <w:rPr>
                <w:rFonts w:ascii="Arial Narrow" w:hAnsi="Arial Narrow"/>
                <w:i/>
                <w:iCs/>
                <w:sz w:val="20"/>
                <w:szCs w:val="20"/>
                <w:lang w:val="es-CO"/>
              </w:rPr>
              <w:t xml:space="preserve"> en la medida en </w:t>
            </w:r>
            <w:r w:rsidR="0050795F" w:rsidRPr="00301E50">
              <w:rPr>
                <w:rFonts w:ascii="Arial Narrow" w:hAnsi="Arial Narrow"/>
                <w:i/>
                <w:iCs/>
                <w:sz w:val="20"/>
                <w:szCs w:val="20"/>
                <w:lang w:val="es-CO"/>
              </w:rPr>
              <w:t>que,</w:t>
            </w:r>
            <w:r w:rsidRPr="00301E50">
              <w:rPr>
                <w:rFonts w:ascii="Arial Narrow" w:hAnsi="Arial Narrow"/>
                <w:i/>
                <w:iCs/>
                <w:sz w:val="20"/>
                <w:szCs w:val="20"/>
                <w:lang w:val="es-CO"/>
              </w:rPr>
              <w:t xml:space="preserve"> una vez aprobado por el juez contencioso, da lugar a su perfeccionamiento y es la </w:t>
            </w:r>
            <w:r w:rsidRPr="00301E50">
              <w:rPr>
                <w:rFonts w:ascii="Arial Narrow" w:hAnsi="Arial Narrow"/>
                <w:b/>
                <w:i/>
                <w:iCs/>
                <w:sz w:val="20"/>
                <w:szCs w:val="20"/>
                <w:lang w:val="es-CO"/>
              </w:rPr>
              <w:t xml:space="preserve">causa, </w:t>
            </w:r>
            <w:r w:rsidRPr="00301E50">
              <w:rPr>
                <w:rFonts w:ascii="Arial Narrow" w:hAnsi="Arial Narrow"/>
                <w:i/>
                <w:iCs/>
                <w:sz w:val="20"/>
                <w:szCs w:val="20"/>
                <w:lang w:val="es-CO"/>
              </w:rPr>
              <w:t xml:space="preserve">en los términos del derecho de obligaciones, de las prestaciones a las que se comprometen las partes. </w:t>
            </w:r>
          </w:p>
          <w:p w14:paraId="68E2A0A1" w14:textId="77777777" w:rsidR="004920AE" w:rsidRPr="004920AE" w:rsidRDefault="004920AE" w:rsidP="00816157">
            <w:pPr>
              <w:pStyle w:val="TableParagraph"/>
              <w:tabs>
                <w:tab w:val="left" w:pos="731"/>
              </w:tabs>
              <w:ind w:left="873" w:right="567"/>
              <w:jc w:val="both"/>
              <w:rPr>
                <w:rFonts w:ascii="Arial Narrow" w:hAnsi="Arial Narrow"/>
                <w:i/>
                <w:iCs/>
                <w:sz w:val="20"/>
                <w:szCs w:val="20"/>
                <w:lang w:val="es-CO"/>
              </w:rPr>
            </w:pPr>
          </w:p>
          <w:p w14:paraId="545BA875" w14:textId="2781AB1A" w:rsidR="00301E50" w:rsidRDefault="00301E50" w:rsidP="00386306">
            <w:pPr>
              <w:pStyle w:val="TableParagraph"/>
              <w:tabs>
                <w:tab w:val="left" w:pos="731"/>
              </w:tabs>
              <w:ind w:left="873" w:right="567"/>
              <w:jc w:val="both"/>
              <w:rPr>
                <w:rFonts w:ascii="Arial Narrow" w:hAnsi="Arial Narrow"/>
                <w:i/>
                <w:iCs/>
                <w:sz w:val="20"/>
                <w:szCs w:val="20"/>
                <w:lang w:val="es-CO"/>
              </w:rPr>
            </w:pPr>
            <w:r w:rsidRPr="00301E50">
              <w:rPr>
                <w:rFonts w:ascii="Arial Narrow" w:hAnsi="Arial Narrow"/>
                <w:i/>
                <w:iCs/>
                <w:sz w:val="20"/>
                <w:szCs w:val="20"/>
                <w:lang w:val="es-CO"/>
              </w:rPr>
              <w:t>Eso explica que solo cuando surge dicho acuerdo puede hablarse de un acto jurídico fuente de obligaciones, que compromete por igual a la administración y al particular, habida cuenta de que se requiere no solo el “consentimiento”,</w:t>
            </w:r>
            <w:r w:rsidRPr="00301E50">
              <w:rPr>
                <w:rFonts w:ascii="Arial Narrow" w:hAnsi="Arial Narrow"/>
                <w:b/>
                <w:i/>
                <w:iCs/>
                <w:sz w:val="20"/>
                <w:szCs w:val="20"/>
                <w:lang w:val="es-CO"/>
              </w:rPr>
              <w:t xml:space="preserve"> previo agotamiento de los requisitos previstos en la ley, </w:t>
            </w:r>
            <w:r w:rsidRPr="00301E50">
              <w:rPr>
                <w:rFonts w:ascii="Arial Narrow" w:hAnsi="Arial Narrow"/>
                <w:i/>
                <w:iCs/>
                <w:sz w:val="20"/>
                <w:szCs w:val="20"/>
                <w:lang w:val="es-CO"/>
              </w:rPr>
              <w:t xml:space="preserve">sino también su aprobación por el juez administrativo, por razones de protección del interés general y del patrimonio público.” </w:t>
            </w:r>
            <w:r w:rsidRPr="00301E50">
              <w:rPr>
                <w:rFonts w:ascii="Arial Narrow" w:hAnsi="Arial Narrow"/>
                <w:sz w:val="20"/>
                <w:szCs w:val="20"/>
                <w:lang w:val="es-CO"/>
              </w:rPr>
              <w:t>(Negrilla en el texto)</w:t>
            </w:r>
          </w:p>
          <w:p w14:paraId="401FB901" w14:textId="77777777" w:rsidR="00386306" w:rsidRDefault="00386306" w:rsidP="00386306">
            <w:pPr>
              <w:pStyle w:val="TableParagraph"/>
              <w:tabs>
                <w:tab w:val="left" w:pos="731"/>
              </w:tabs>
              <w:ind w:left="873" w:right="567"/>
              <w:jc w:val="both"/>
              <w:rPr>
                <w:rFonts w:ascii="Arial Narrow" w:hAnsi="Arial Narrow"/>
                <w:i/>
                <w:iCs/>
                <w:sz w:val="20"/>
                <w:szCs w:val="20"/>
                <w:lang w:val="es-CO"/>
              </w:rPr>
            </w:pPr>
          </w:p>
          <w:p w14:paraId="0EA060C1" w14:textId="74E98591" w:rsidR="00386306" w:rsidRDefault="005D1EC2" w:rsidP="005D1EC2">
            <w:pPr>
              <w:pStyle w:val="TableParagraph"/>
              <w:tabs>
                <w:tab w:val="left" w:pos="584"/>
              </w:tabs>
              <w:ind w:left="720" w:right="567"/>
              <w:jc w:val="both"/>
              <w:rPr>
                <w:rFonts w:ascii="Arial Narrow" w:hAnsi="Arial Narrow"/>
                <w:lang w:val="es-CO"/>
              </w:rPr>
            </w:pPr>
            <w:r>
              <w:rPr>
                <w:rFonts w:ascii="Arial Narrow" w:hAnsi="Arial Narrow"/>
                <w:lang w:val="es-CO"/>
              </w:rPr>
              <w:t>En consecuencia, e</w:t>
            </w:r>
            <w:r w:rsidR="00A96606">
              <w:rPr>
                <w:rFonts w:ascii="Arial Narrow" w:hAnsi="Arial Narrow"/>
                <w:lang w:val="es-CO"/>
              </w:rPr>
              <w:t>l acuerdo de conciliación</w:t>
            </w:r>
            <w:r w:rsidR="00A96606" w:rsidRPr="00301E50">
              <w:rPr>
                <w:rFonts w:ascii="Arial Narrow" w:hAnsi="Arial Narrow"/>
                <w:lang w:val="es-CO"/>
              </w:rPr>
              <w:t xml:space="preserve"> </w:t>
            </w:r>
            <w:r w:rsidR="00A96606">
              <w:rPr>
                <w:rFonts w:ascii="Arial Narrow" w:hAnsi="Arial Narrow"/>
                <w:lang w:val="es-CO"/>
              </w:rPr>
              <w:t>constituye una</w:t>
            </w:r>
            <w:r w:rsidR="00A96606" w:rsidRPr="00301E50">
              <w:rPr>
                <w:rFonts w:ascii="Arial Narrow" w:hAnsi="Arial Narrow"/>
                <w:lang w:val="es-CO"/>
              </w:rPr>
              <w:t xml:space="preserve"> constancia de recomendación efectuada por el Comité, a efectos de presentar una fórmula conciliatoria y así evitar una controversia judicial, por lo tanto, de ninguna manera se puede afirmar que el mismo contenga un contrato o una decisión que ponga fin a una actuación administrativa. Esta decisión no constituye un acto administrativo, toda vez que no se consolida una situación jurídica particular y concreta que tenga la capacidad de crear, modificar o extinguir un derecho. </w:t>
            </w:r>
          </w:p>
          <w:p w14:paraId="38916DEA" w14:textId="77777777" w:rsidR="00301E50" w:rsidRPr="00301E50" w:rsidRDefault="00301E50" w:rsidP="008962B2">
            <w:pPr>
              <w:pStyle w:val="TableParagraph"/>
              <w:tabs>
                <w:tab w:val="left" w:pos="584"/>
              </w:tabs>
              <w:ind w:right="567"/>
              <w:jc w:val="both"/>
              <w:rPr>
                <w:rFonts w:ascii="Arial Narrow" w:hAnsi="Arial Narrow"/>
                <w:lang w:val="es-CO"/>
              </w:rPr>
            </w:pPr>
          </w:p>
          <w:p w14:paraId="3E328199" w14:textId="7B530E31" w:rsidR="00301E50" w:rsidRPr="00301E50" w:rsidRDefault="008962B2" w:rsidP="00301E50">
            <w:pPr>
              <w:pStyle w:val="TableParagraph"/>
              <w:tabs>
                <w:tab w:val="left" w:pos="584"/>
              </w:tabs>
              <w:ind w:left="720" w:right="567"/>
              <w:jc w:val="both"/>
              <w:rPr>
                <w:rFonts w:ascii="Arial Narrow" w:hAnsi="Arial Narrow"/>
                <w:lang w:val="es-CO"/>
              </w:rPr>
            </w:pPr>
            <w:r>
              <w:rPr>
                <w:rFonts w:ascii="Arial Narrow" w:hAnsi="Arial Narrow"/>
                <w:lang w:val="es-CO"/>
              </w:rPr>
              <w:lastRenderedPageBreak/>
              <w:t>Aunado a lo anterior, l</w:t>
            </w:r>
            <w:r w:rsidR="00301E50" w:rsidRPr="00301E50">
              <w:rPr>
                <w:rFonts w:ascii="Arial Narrow" w:hAnsi="Arial Narrow"/>
                <w:lang w:val="es-CO"/>
              </w:rPr>
              <w:t>a conciliación en materia de lo contencioso administrativa tiene como finalidad facilitar el acceso a la justicia y, además, la protección y salvaguarda de patrimonio público y el interés general (Art. 3 L. 2220/2022). En igual sentido, al momento de tramitar las solicitudes de conciliación u otro mecanismo alternativo de solución de conflictos, los Comités de Conciliación de las Entidades públicas deben aplicar los principios de la función administrativa (Art 116 L. 2220/22), y evitar en todo caso lesionar el patrimonio público.</w:t>
            </w:r>
          </w:p>
          <w:p w14:paraId="32A2B163"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267BDE89"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Adicionalmente, el Estatuto de Conciliación incorporó una serie de principios especiales para la conciliación en lo contencioso administrativo (Art. 91 L. 2220/22), como lo son: i) la salvaguarda y protección del patrimonio público y el interés general; ii) la salvaguarda y protección de los derechos ciertos e indiscutibles; y iii) protección reforzada de la legalidad. </w:t>
            </w:r>
          </w:p>
          <w:p w14:paraId="7914F0C1"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36504CA" w14:textId="0EB73335" w:rsidR="00301E50" w:rsidRPr="00301E50" w:rsidRDefault="008962B2" w:rsidP="00301E50">
            <w:pPr>
              <w:pStyle w:val="TableParagraph"/>
              <w:tabs>
                <w:tab w:val="left" w:pos="584"/>
              </w:tabs>
              <w:ind w:left="720" w:right="567"/>
              <w:jc w:val="both"/>
              <w:rPr>
                <w:rFonts w:ascii="Arial Narrow" w:hAnsi="Arial Narrow"/>
                <w:lang w:val="es-CO"/>
              </w:rPr>
            </w:pPr>
            <w:r>
              <w:rPr>
                <w:rFonts w:ascii="Arial Narrow" w:hAnsi="Arial Narrow"/>
                <w:lang w:val="es-CO"/>
              </w:rPr>
              <w:t>Finalmente,</w:t>
            </w:r>
            <w:r w:rsidR="00301E50" w:rsidRPr="00301E50">
              <w:rPr>
                <w:rFonts w:ascii="Arial Narrow" w:hAnsi="Arial Narrow"/>
                <w:lang w:val="es-CO"/>
              </w:rPr>
              <w:t xml:space="preserve"> en la sesión extraordinaria 168 del 31 de mayo de 2024, el Comité de Conciliación de la ADRES </w:t>
            </w:r>
            <w:r w:rsidR="006C1F59">
              <w:rPr>
                <w:rFonts w:ascii="Arial Narrow" w:hAnsi="Arial Narrow"/>
                <w:lang w:val="es-CO"/>
              </w:rPr>
              <w:t>revisó</w:t>
            </w:r>
            <w:r w:rsidR="00301E50" w:rsidRPr="00301E50">
              <w:rPr>
                <w:rFonts w:ascii="Arial Narrow" w:hAnsi="Arial Narrow"/>
                <w:lang w:val="es-CO"/>
              </w:rPr>
              <w:t xml:space="preserve"> lo decidido en sesión extraordinaria</w:t>
            </w:r>
            <w:r w:rsidR="006C1F59">
              <w:rPr>
                <w:rFonts w:ascii="Arial Narrow" w:hAnsi="Arial Narrow"/>
                <w:lang w:val="es-CO"/>
              </w:rPr>
              <w:t xml:space="preserve"> del</w:t>
            </w:r>
            <w:r w:rsidR="00301E50" w:rsidRPr="00301E50">
              <w:rPr>
                <w:rFonts w:ascii="Arial Narrow" w:hAnsi="Arial Narrow"/>
                <w:lang w:val="es-CO"/>
              </w:rPr>
              <w:t xml:space="preserve"> 121 del 29 de noviembre de 2022, atendiendo una serie de circunstancias que podrían generar una posible afectación al patrimonio público, por lo cual reval</w:t>
            </w:r>
            <w:r w:rsidR="006C1F59">
              <w:rPr>
                <w:rFonts w:ascii="Arial Narrow" w:hAnsi="Arial Narrow"/>
                <w:lang w:val="es-CO"/>
              </w:rPr>
              <w:t>uó</w:t>
            </w:r>
            <w:r w:rsidR="00301E50" w:rsidRPr="00301E50">
              <w:rPr>
                <w:rFonts w:ascii="Arial Narrow" w:hAnsi="Arial Narrow"/>
                <w:lang w:val="es-CO"/>
              </w:rPr>
              <w:t xml:space="preserve"> la postura de esta instancia administrativa</w:t>
            </w:r>
            <w:r>
              <w:rPr>
                <w:rFonts w:ascii="Arial Narrow" w:hAnsi="Arial Narrow"/>
                <w:lang w:val="es-CO"/>
              </w:rPr>
              <w:t>, con base en los siguientes fundamentos.</w:t>
            </w:r>
          </w:p>
          <w:p w14:paraId="5AB51B67" w14:textId="77777777" w:rsidR="00301E50" w:rsidRPr="00301E50" w:rsidRDefault="00301E50" w:rsidP="00C039DF">
            <w:pPr>
              <w:pStyle w:val="TableParagraph"/>
              <w:tabs>
                <w:tab w:val="left" w:pos="584"/>
              </w:tabs>
              <w:ind w:right="567"/>
              <w:jc w:val="both"/>
              <w:rPr>
                <w:rFonts w:ascii="Arial Narrow" w:hAnsi="Arial Narrow"/>
                <w:lang w:val="es-CO"/>
              </w:rPr>
            </w:pPr>
          </w:p>
          <w:p w14:paraId="70E92A2A" w14:textId="77777777" w:rsidR="00301E50" w:rsidRPr="00CD2DDA" w:rsidRDefault="00301E50" w:rsidP="00CD2DDA">
            <w:pPr>
              <w:pStyle w:val="TableParagraph"/>
              <w:numPr>
                <w:ilvl w:val="0"/>
                <w:numId w:val="27"/>
              </w:numPr>
              <w:tabs>
                <w:tab w:val="left" w:pos="584"/>
              </w:tabs>
              <w:ind w:right="567"/>
              <w:jc w:val="both"/>
              <w:rPr>
                <w:rFonts w:ascii="Arial Narrow" w:hAnsi="Arial Narrow"/>
                <w:b/>
                <w:bCs/>
                <w:lang w:val="es-CO"/>
              </w:rPr>
            </w:pPr>
            <w:r w:rsidRPr="00CD2DDA">
              <w:rPr>
                <w:rFonts w:ascii="Arial Narrow" w:hAnsi="Arial Narrow"/>
                <w:b/>
                <w:bCs/>
                <w:lang w:val="es-CO"/>
              </w:rPr>
              <w:t>Inexistencia del riesgo jurídico dentro del proceso judicial radicado nro. 25000233600020170008200</w:t>
            </w:r>
          </w:p>
          <w:p w14:paraId="3C036EBD" w14:textId="77777777" w:rsidR="00301E50" w:rsidRPr="00301E50" w:rsidRDefault="00301E50" w:rsidP="00301E50">
            <w:pPr>
              <w:pStyle w:val="TableParagraph"/>
              <w:tabs>
                <w:tab w:val="left" w:pos="584"/>
              </w:tabs>
              <w:ind w:left="720" w:right="567"/>
              <w:jc w:val="both"/>
              <w:rPr>
                <w:rFonts w:ascii="Arial Narrow" w:hAnsi="Arial Narrow"/>
                <w:u w:val="single"/>
                <w:lang w:val="es-CO"/>
              </w:rPr>
            </w:pPr>
          </w:p>
          <w:p w14:paraId="6ABC2EA3"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El Consorcio SAYP integrado por Fiduprevisora S.A., y Fiducoldex S.A., demandaron a la ADRES a través del medio de control de controversias contractuales, alegando un presunto desequilibrio económico con ocasión de unos mayores costos derivados del Contrato. La demanda fue presentada el 18 de enero de 2017, avocando su conocimiento el Tribunal Administrativo de Cundinamarca – Sección Tercera – Subsección Segunda, mediante auto de fecha 05 de abril de 2017. </w:t>
            </w:r>
          </w:p>
          <w:p w14:paraId="50560538"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0F1325AA"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En este aparte, es oportuno aclarar y precisar que, dentro de la demanda, contestación, fijación del litigio y demás etapas procesales, la parte demandante nunca alegó o solicitó la liquidación judicial del contrato. Incluso, se resalta que al momento de la presentación de la demanda y de notificar al extremo pasivo del auto admisorio de dicha demanda, que es el momento procesal en el que queda integrado el contradictorio, el contrato de encargo fiduciario nro. 467 de 2011 se encontraba vigente, lo que impedía solicitar la liquidación del contrato.</w:t>
            </w:r>
          </w:p>
          <w:p w14:paraId="6C98A8F2"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79642FA"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El 10 de julio de 2019, el Tribunal Administrativo de Cundinamarca profirió la sentencia negando las pretensiones de la demanda contractual, concediéndole la razón a la ADRES, pero extrañamente el Tribunal se pronunció de oficio sobre la liquidación del contrato, declarando que las partes se encontraban a paz y salvo por todo concepto. Sumado a lo anterior, en el momento en que se integró el contradictorio, tampoco se cumplían los requisitos contractuales para proceder a la liquidación, dado que el Acta de Recibo Final del contrato de encargo fiduciario N.º 467 de 2011 se suscribió el día 28 de noviembre de 2018. </w:t>
            </w:r>
          </w:p>
          <w:p w14:paraId="1A943C6D"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3DEDFA3"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En consecuencia, frente a la decisión </w:t>
            </w:r>
            <w:r w:rsidRPr="00301E50">
              <w:rPr>
                <w:rFonts w:ascii="Arial Narrow" w:hAnsi="Arial Narrow"/>
                <w:i/>
                <w:iCs/>
                <w:lang w:val="es-CO"/>
              </w:rPr>
              <w:t xml:space="preserve">extra petita </w:t>
            </w:r>
            <w:r w:rsidRPr="00301E50">
              <w:rPr>
                <w:rFonts w:ascii="Arial Narrow" w:hAnsi="Arial Narrow"/>
                <w:lang w:val="es-CO"/>
              </w:rPr>
              <w:t>del Tribunal Administrativo de Cundinamarca, la ADRES solicitó aclaración y adición, pero el Tribunal las negó. Circunstancia que condujo a la ADRES a interponer el recurso de apelación el 9 de septiembre de 2019, en contra de la sentencia de primera instancia proferida el 10 de julio de 2019 por parte del Tribunal Administrativo de Cundinamarca.</w:t>
            </w:r>
          </w:p>
          <w:p w14:paraId="5836595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80E3260"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Ahora bien, en la sesión extraordinaria nro. 121 del 29 de noviembre de 2022 se mencionó que existía un riesgo jurídico en el sentido que podía ser confirmada por el Consejo de Estado la sentencia del 10 de julio de 2019 proferida del Tribunal Administrativo de Cundinamarca, en lo que se refiere a la liquidación judicial del contrato en $0 y al haber declarado que las partes se encontraban a paz y salvo por todo concepto, por lo que quedaba la ADRES en la imposibilidad de recuperar los recursos.</w:t>
            </w:r>
          </w:p>
          <w:p w14:paraId="13AF6990"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B71873D" w14:textId="77777777" w:rsidR="00301E50" w:rsidRPr="00301E50" w:rsidRDefault="00301E50" w:rsidP="00301E50">
            <w:pPr>
              <w:pStyle w:val="TableParagraph"/>
              <w:tabs>
                <w:tab w:val="left" w:pos="584"/>
              </w:tabs>
              <w:ind w:left="720" w:right="567"/>
              <w:jc w:val="both"/>
              <w:rPr>
                <w:rFonts w:ascii="Arial Narrow" w:hAnsi="Arial Narrow"/>
                <w:lang w:val="es-MX"/>
              </w:rPr>
            </w:pPr>
            <w:r w:rsidRPr="00301E50">
              <w:rPr>
                <w:rFonts w:ascii="Arial Narrow" w:hAnsi="Arial Narrow"/>
                <w:lang w:val="es-CO"/>
              </w:rPr>
              <w:t xml:space="preserve">Sin embargo, el Consejo de Estado resolvió el recurso de apelación mediante sentencia del 23 de noviembre de 2022, en el sentido de negar </w:t>
            </w:r>
            <w:r w:rsidRPr="00301E50">
              <w:rPr>
                <w:rFonts w:ascii="Arial Narrow" w:hAnsi="Arial Narrow"/>
                <w:lang w:val="es-MX"/>
              </w:rPr>
              <w:t xml:space="preserve">las pretensiones de la demanda y dejó sin efectos la liquidación judicial realizada por el Tribunal Administrativo de Cundinamarca, decisión notificada el 15 de diciembre de 2022, momento en el que cesó </w:t>
            </w:r>
            <w:r w:rsidRPr="00301E50">
              <w:rPr>
                <w:rFonts w:ascii="Arial Narrow" w:hAnsi="Arial Narrow"/>
                <w:lang w:val="es-MX"/>
              </w:rPr>
              <w:lastRenderedPageBreak/>
              <w:t>el aparente riesgo.</w:t>
            </w:r>
          </w:p>
          <w:p w14:paraId="5D5E056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7B021CE0" w14:textId="76A0B84B"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Con base </w:t>
            </w:r>
            <w:r w:rsidR="0091087C">
              <w:rPr>
                <w:rFonts w:ascii="Arial Narrow" w:hAnsi="Arial Narrow"/>
                <w:lang w:val="es-CO"/>
              </w:rPr>
              <w:t>en</w:t>
            </w:r>
            <w:r w:rsidRPr="00301E50">
              <w:rPr>
                <w:rFonts w:ascii="Arial Narrow" w:hAnsi="Arial Narrow"/>
                <w:lang w:val="es-CO"/>
              </w:rPr>
              <w:t xml:space="preserve"> lo anterior, de haberse realizado un análisis del riesgo de pérdida del proceso en mención, con fundamento en el fallo judicial del 23 de noviembre de 2022 y notificado el 15 de diciembre de la misma anualidad, pudo darse un tratamiento diferente a la solicitud de conciliación, y más que, como lo manifestó el honorable Consejo de Estado, la facultad </w:t>
            </w:r>
            <w:r w:rsidRPr="00301E50">
              <w:rPr>
                <w:rFonts w:ascii="Arial Narrow" w:hAnsi="Arial Narrow"/>
                <w:i/>
                <w:iCs/>
                <w:lang w:val="es-CO"/>
              </w:rPr>
              <w:t xml:space="preserve">extra petita </w:t>
            </w:r>
            <w:r w:rsidRPr="00301E50">
              <w:rPr>
                <w:rFonts w:ascii="Arial Narrow" w:hAnsi="Arial Narrow"/>
                <w:lang w:val="es-CO"/>
              </w:rPr>
              <w:t>es restringida, ya que, por regla general, el juez no puede reconocer más allá de las pretensiones elevadas en la demanda, ya que atenta en contra del principio de congruencia previsto en el artículo 281 del Código General del Proceso.</w:t>
            </w:r>
          </w:p>
          <w:p w14:paraId="1B1AC320"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6CBC5EF1"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Sobre el particular, el Consejo de Estado</w:t>
            </w:r>
            <w:r w:rsidRPr="00301E50">
              <w:rPr>
                <w:rFonts w:ascii="Arial Narrow" w:hAnsi="Arial Narrow"/>
                <w:vertAlign w:val="superscript"/>
                <w:lang w:val="es-CO"/>
              </w:rPr>
              <w:footnoteReference w:id="19"/>
            </w:r>
            <w:r w:rsidRPr="00301E50">
              <w:rPr>
                <w:rFonts w:ascii="Arial Narrow" w:hAnsi="Arial Narrow"/>
                <w:lang w:val="es-CO"/>
              </w:rPr>
              <w:t xml:space="preserve"> ha señalado lo siguiente: </w:t>
            </w:r>
          </w:p>
          <w:p w14:paraId="119325DC" w14:textId="77777777" w:rsidR="00301E50" w:rsidRPr="00301E50" w:rsidRDefault="00301E50" w:rsidP="00710D9B">
            <w:pPr>
              <w:pStyle w:val="TableParagraph"/>
              <w:tabs>
                <w:tab w:val="left" w:pos="584"/>
              </w:tabs>
              <w:ind w:left="1014" w:right="567"/>
              <w:jc w:val="both"/>
              <w:rPr>
                <w:rFonts w:ascii="Arial Narrow" w:hAnsi="Arial Narrow"/>
                <w:lang w:val="es-CO"/>
              </w:rPr>
            </w:pPr>
          </w:p>
          <w:p w14:paraId="55202863" w14:textId="77777777" w:rsidR="00301E50" w:rsidRPr="00301E50" w:rsidRDefault="00301E50" w:rsidP="00710D9B">
            <w:pPr>
              <w:pStyle w:val="TableParagraph"/>
              <w:tabs>
                <w:tab w:val="left" w:pos="584"/>
              </w:tabs>
              <w:ind w:left="1014" w:right="567"/>
              <w:jc w:val="both"/>
              <w:rPr>
                <w:rFonts w:ascii="Arial Narrow" w:hAnsi="Arial Narrow"/>
                <w:i/>
                <w:iCs/>
                <w:lang w:val="es-CO"/>
              </w:rPr>
            </w:pPr>
            <w:r w:rsidRPr="00301E50">
              <w:rPr>
                <w:rFonts w:ascii="Arial Narrow" w:hAnsi="Arial Narrow"/>
                <w:lang w:val="es-CO"/>
              </w:rPr>
              <w:t>“</w:t>
            </w:r>
            <w:r w:rsidRPr="00301E50">
              <w:rPr>
                <w:rFonts w:ascii="Arial Narrow" w:hAnsi="Arial Narrow"/>
                <w:i/>
                <w:iCs/>
                <w:lang w:val="es-CO"/>
              </w:rPr>
              <w:t>Al respecto, la Sala, en reiteradas oportunidades ha sostenido que la congruencia es una regla en virtud de la cual el juez, en su sentencia, no puede reconocer lo que no se le ha pedido (extra petita) ni más de lo pedido (ultra petita); es garantía del derecho fundamental al debido proceso y expresión del sistema dispositivo en el que las partes son las encargadas del impulso procesal.”</w:t>
            </w:r>
          </w:p>
          <w:p w14:paraId="4DBA3209"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7B1E5576"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Por tal motivo, el riesgo jurídico señalado en la sesión del Comité y que fue tomado como sustento para la toma de la decisión, era inexistente o al menos, poco probable de materializarse.</w:t>
            </w:r>
          </w:p>
          <w:p w14:paraId="55C19A09"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7F3F2302" w14:textId="32342F9C" w:rsidR="00301E50" w:rsidRPr="0091087C" w:rsidRDefault="00301E50" w:rsidP="0091087C">
            <w:pPr>
              <w:pStyle w:val="TableParagraph"/>
              <w:numPr>
                <w:ilvl w:val="0"/>
                <w:numId w:val="27"/>
              </w:numPr>
              <w:tabs>
                <w:tab w:val="left" w:pos="584"/>
              </w:tabs>
              <w:ind w:right="567"/>
              <w:jc w:val="both"/>
              <w:rPr>
                <w:rFonts w:ascii="Arial Narrow" w:hAnsi="Arial Narrow"/>
                <w:b/>
                <w:bCs/>
                <w:lang w:val="es-CO"/>
              </w:rPr>
            </w:pPr>
            <w:r w:rsidRPr="0091087C">
              <w:rPr>
                <w:rFonts w:ascii="Arial Narrow" w:hAnsi="Arial Narrow"/>
                <w:b/>
                <w:bCs/>
                <w:lang w:val="es-CO"/>
              </w:rPr>
              <w:t>No</w:t>
            </w:r>
            <w:r w:rsidR="00661CED">
              <w:rPr>
                <w:rFonts w:ascii="Arial Narrow" w:hAnsi="Arial Narrow"/>
                <w:b/>
                <w:bCs/>
                <w:lang w:val="es-CO"/>
              </w:rPr>
              <w:t xml:space="preserve"> </w:t>
            </w:r>
            <w:r w:rsidR="0091087C" w:rsidRPr="0091087C">
              <w:rPr>
                <w:rFonts w:ascii="Arial Narrow" w:hAnsi="Arial Narrow"/>
                <w:b/>
                <w:bCs/>
                <w:lang w:val="es-CO"/>
              </w:rPr>
              <w:t>se configuró la causal</w:t>
            </w:r>
            <w:r w:rsidRPr="0091087C">
              <w:rPr>
                <w:rFonts w:ascii="Arial Narrow" w:hAnsi="Arial Narrow"/>
                <w:b/>
                <w:bCs/>
                <w:lang w:val="es-CO"/>
              </w:rPr>
              <w:t xml:space="preserve"> de revocatoria directa</w:t>
            </w:r>
            <w:r w:rsidR="0091087C">
              <w:rPr>
                <w:rFonts w:ascii="Arial Narrow" w:hAnsi="Arial Narrow"/>
                <w:b/>
                <w:bCs/>
                <w:lang w:val="es-CO"/>
              </w:rPr>
              <w:t xml:space="preserve"> </w:t>
            </w:r>
          </w:p>
          <w:p w14:paraId="342EF87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08FEC713" w14:textId="3FE5DE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El segundo sustento </w:t>
            </w:r>
            <w:r w:rsidR="00AE05BD">
              <w:rPr>
                <w:rFonts w:ascii="Arial Narrow" w:hAnsi="Arial Narrow"/>
                <w:lang w:val="es-CO"/>
              </w:rPr>
              <w:t>que se tuvo en</w:t>
            </w:r>
            <w:r w:rsidRPr="00301E50">
              <w:rPr>
                <w:rFonts w:ascii="Arial Narrow" w:hAnsi="Arial Narrow"/>
                <w:lang w:val="es-CO"/>
              </w:rPr>
              <w:t xml:space="preserve"> cuenta en la sesión extraordinaria 121 del 29 de noviembre de 2022 era que, al haberse impuesto al consorcio la obligación de restituir dineros por concepto de embargos mal gestionados y cheques devueltos, la ADRES estaba incurriendo en falsa motivación en el acto administrativo que liquidó el contrato. No obstante, hecho el análisis, se pudo verificar que esto no fue cierto con relación a los embargos decretados por $6.042.284,00 que se le estaba imponiendo la obligación al consorcio de reintegrar. Esto correspondió a la diferencia de cifra identificada con base en la información reportada por la Dirección de Recursos Financieros con la información de la Oficina de Asesora Jurídica.</w:t>
            </w:r>
          </w:p>
          <w:p w14:paraId="3127CF36"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F452401"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En este punto no se puede perder de vista que la Dirección de Gestión de Recursos Financieros de Salud de la ADRES identificó el valor de $2.469.473.509.55 por concepto de depósitos judiciales y adicionalmente, se había mencionado la existencia de un embargo decretado en un proceso ejecutivo interpuesto por el Hospital San Vicente de Arauca, sin determinar su cuantía, por lo que aparentemente esta medida cautelar no se encontraba incluida en el valor total de depósitos judiciales antes mencionado, de manera que el embargo y secuestro de $626.000.000 no podía ser imputado al valor de la diferencia de $6.042.184,55.</w:t>
            </w:r>
          </w:p>
          <w:p w14:paraId="7A832EF3"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15AD1265"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En cuanto al valor a reintegrar por concepto de cheques devueltos ($298.037.588,96), la Oficina Asesora Jurídica aclaró en la sesión que el reproche al Consorcio se sustentó en que este radicó la demanda de manera tardía, sin embargo, así se hubiera hecho en oportunidad (20 de abril de 2012) habría ocurrido lo mismo, como consecuencia de la intervención ordenada por la Superintendencia en marzo de 2012. Por consiguiente, no era dable que en el marco de la liquidación se cobrara el 20% de manera directa, pues se requiere validar por el juez la existencia de una culpa.</w:t>
            </w:r>
          </w:p>
          <w:p w14:paraId="2BA778BF"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2CFF8E0"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Al respecto, se debe tener en consideración que el término de prescripción de las acciones cambiaras derivadas del cheque es de 6 meses</w:t>
            </w:r>
            <w:r w:rsidRPr="00301E50">
              <w:rPr>
                <w:rFonts w:ascii="Arial Narrow" w:hAnsi="Arial Narrow"/>
                <w:vertAlign w:val="superscript"/>
                <w:lang w:val="es-CO"/>
              </w:rPr>
              <w:footnoteReference w:id="20"/>
            </w:r>
            <w:r w:rsidRPr="00301E50">
              <w:rPr>
                <w:rFonts w:ascii="Arial Narrow" w:hAnsi="Arial Narrow"/>
                <w:lang w:val="es-CO"/>
              </w:rPr>
              <w:t xml:space="preserve">, por lo que el reproche de la administración contenido en las resoluciones objeto de controversias es válido, en el entendido que el Consorcio contó con tiempo suficiente para adelantar las acciones judiciales. Igualmente, así haya existido intervención, el consorcio tenía tiempo suficiente para iniciar las acciones, en la medida que la actuación de la Superintendencia se dio un mes antes de la fecha de prescripción de la acción </w:t>
            </w:r>
            <w:r w:rsidRPr="00301E50">
              <w:rPr>
                <w:rFonts w:ascii="Arial Narrow" w:hAnsi="Arial Narrow"/>
                <w:lang w:val="es-CO"/>
              </w:rPr>
              <w:lastRenderedPageBreak/>
              <w:t>cambiaria, por lo que no es cierto que el resultado hubiese sido el mismo.</w:t>
            </w:r>
          </w:p>
          <w:p w14:paraId="0F8B79C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74CB76F2" w14:textId="77777777" w:rsid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Aunado a lo anterior, no se puede perder de vista que la Resolución 671 de 2012, mediante la cual se adoptó la medida preventiva de intervención a Solsalud, en su artículo 2 estableció la suspensión de los procesos de ejecución y la imposibilidad de admitir nuevos procesos. No obstante, el mencionado acto administrativo aclaró que a los procesos ejecutivos se aplicaría lo dispuesto en el artículo 99 y 100 de la Ley 222 de 1995, por lo que el juez debía remitir el expediente del proceso ejecutivo al agente liquidador para que fuese incorporado al proceso de intervención.</w:t>
            </w:r>
          </w:p>
          <w:p w14:paraId="542B2741" w14:textId="77777777" w:rsidR="00661CED" w:rsidRPr="00301E50" w:rsidRDefault="00661CED" w:rsidP="00301E50">
            <w:pPr>
              <w:pStyle w:val="TableParagraph"/>
              <w:tabs>
                <w:tab w:val="left" w:pos="584"/>
              </w:tabs>
              <w:ind w:left="720" w:right="567"/>
              <w:jc w:val="both"/>
              <w:rPr>
                <w:rFonts w:ascii="Arial Narrow" w:hAnsi="Arial Narrow"/>
                <w:lang w:val="es-CO"/>
              </w:rPr>
            </w:pPr>
          </w:p>
          <w:p w14:paraId="3C9F0FD6" w14:textId="77777777" w:rsidR="00301E50" w:rsidRDefault="00301E50" w:rsidP="00C039DF">
            <w:pPr>
              <w:pStyle w:val="TableParagraph"/>
              <w:tabs>
                <w:tab w:val="left" w:pos="584"/>
              </w:tabs>
              <w:ind w:left="720" w:right="567"/>
              <w:jc w:val="center"/>
              <w:rPr>
                <w:rFonts w:ascii="Arial Narrow" w:hAnsi="Arial Narrow"/>
                <w:lang w:val="es-CO"/>
              </w:rPr>
            </w:pPr>
            <w:r w:rsidRPr="00301E50">
              <w:rPr>
                <w:rFonts w:ascii="Arial Narrow" w:hAnsi="Arial Narrow"/>
                <w:noProof/>
                <w:lang w:val="es-CO"/>
              </w:rPr>
              <w:drawing>
                <wp:inline distT="0" distB="0" distL="0" distR="0" wp14:anchorId="0CABD6F2" wp14:editId="2A7D1654">
                  <wp:extent cx="4972050" cy="1933575"/>
                  <wp:effectExtent l="19050" t="19050" r="19050" b="28575"/>
                  <wp:docPr id="1232472658" name="Imagen 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72658" name="Imagen 3" descr="Text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050" cy="1933575"/>
                          </a:xfrm>
                          <a:prstGeom prst="rect">
                            <a:avLst/>
                          </a:prstGeom>
                          <a:noFill/>
                          <a:ln w="6350">
                            <a:solidFill>
                              <a:schemeClr val="tx1"/>
                            </a:solidFill>
                          </a:ln>
                        </pic:spPr>
                      </pic:pic>
                    </a:graphicData>
                  </a:graphic>
                </wp:inline>
              </w:drawing>
            </w:r>
          </w:p>
          <w:p w14:paraId="58EADC7B" w14:textId="77777777" w:rsidR="00661CED" w:rsidRPr="00301E50" w:rsidRDefault="00661CED" w:rsidP="00C039DF">
            <w:pPr>
              <w:pStyle w:val="TableParagraph"/>
              <w:tabs>
                <w:tab w:val="left" w:pos="584"/>
              </w:tabs>
              <w:ind w:left="720" w:right="567"/>
              <w:jc w:val="center"/>
              <w:rPr>
                <w:rFonts w:ascii="Arial Narrow" w:hAnsi="Arial Narrow"/>
                <w:lang w:val="es-CO"/>
              </w:rPr>
            </w:pPr>
          </w:p>
          <w:p w14:paraId="3D2F4A34"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Así las cosas, no había justificación para que el Consorcio SAYP 2011 no hubiese presentado la demanda en tiempo.</w:t>
            </w:r>
          </w:p>
          <w:p w14:paraId="5A3E6EFA"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28344E9A" w14:textId="77777777" w:rsidR="00301E50" w:rsidRPr="00661CED" w:rsidRDefault="00301E50" w:rsidP="00661CED">
            <w:pPr>
              <w:pStyle w:val="TableParagraph"/>
              <w:numPr>
                <w:ilvl w:val="0"/>
                <w:numId w:val="27"/>
              </w:numPr>
              <w:tabs>
                <w:tab w:val="left" w:pos="584"/>
              </w:tabs>
              <w:ind w:right="567"/>
              <w:jc w:val="both"/>
              <w:rPr>
                <w:rFonts w:ascii="Arial Narrow" w:hAnsi="Arial Narrow"/>
                <w:b/>
                <w:bCs/>
                <w:lang w:val="es-CO"/>
              </w:rPr>
            </w:pPr>
            <w:r w:rsidRPr="00661CED">
              <w:rPr>
                <w:rFonts w:ascii="Arial Narrow" w:hAnsi="Arial Narrow"/>
                <w:b/>
                <w:bCs/>
                <w:lang w:val="es-CO"/>
              </w:rPr>
              <w:t xml:space="preserve">Afectación al patrimonio público </w:t>
            </w:r>
          </w:p>
          <w:p w14:paraId="79B8455B"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08F0FAE" w14:textId="77777777" w:rsidR="00661CED" w:rsidRDefault="00301E50" w:rsidP="00661CED">
            <w:pPr>
              <w:pStyle w:val="TableParagraph"/>
              <w:tabs>
                <w:tab w:val="left" w:pos="584"/>
              </w:tabs>
              <w:ind w:left="720" w:right="567"/>
              <w:jc w:val="both"/>
              <w:rPr>
                <w:rFonts w:ascii="Arial Narrow" w:hAnsi="Arial Narrow"/>
                <w:lang w:val="es-CO"/>
              </w:rPr>
            </w:pPr>
            <w:r w:rsidRPr="00301E50">
              <w:rPr>
                <w:rFonts w:ascii="Arial Narrow" w:hAnsi="Arial Narrow"/>
                <w:lang w:val="es-CO"/>
              </w:rPr>
              <w:t>La conciliación en materia de lo contencioso administrativa tiene como finalidad la protección y salvaguarda de patrimonio público y el interés general. En igual sentido, los Comités de Conciliación de las Entidades públicas deben aplicar los principios de la función administrativa y evitar en todo caso lesionar el patrimonio público. Sin embargo, con la decisión adoptada en sesión extraordinaria nro. 121 del 29 de noviembre de 2022 y el acuerdo de conciliación, fueron advertidas condiciones que afectan el patrimonio de la Entidad, lo que amerita una revisión.</w:t>
            </w:r>
          </w:p>
          <w:p w14:paraId="3C11E390" w14:textId="77777777" w:rsidR="00661CED" w:rsidRDefault="00661CED" w:rsidP="00661CED">
            <w:pPr>
              <w:pStyle w:val="TableParagraph"/>
              <w:tabs>
                <w:tab w:val="left" w:pos="584"/>
              </w:tabs>
              <w:ind w:left="720" w:right="567"/>
              <w:jc w:val="both"/>
              <w:rPr>
                <w:rFonts w:ascii="Arial Narrow" w:hAnsi="Arial Narrow"/>
                <w:lang w:val="es-CO"/>
              </w:rPr>
            </w:pPr>
          </w:p>
          <w:p w14:paraId="3BAC0AA8" w14:textId="4B594DFE" w:rsidR="00301E50" w:rsidRPr="00666E99" w:rsidRDefault="00301E50" w:rsidP="00661CED">
            <w:pPr>
              <w:pStyle w:val="TableParagraph"/>
              <w:numPr>
                <w:ilvl w:val="0"/>
                <w:numId w:val="27"/>
              </w:numPr>
              <w:tabs>
                <w:tab w:val="left" w:pos="584"/>
              </w:tabs>
              <w:ind w:right="567"/>
              <w:jc w:val="both"/>
              <w:rPr>
                <w:rFonts w:ascii="Arial Narrow" w:hAnsi="Arial Narrow"/>
                <w:b/>
                <w:bCs/>
                <w:lang w:val="es-CO"/>
              </w:rPr>
            </w:pPr>
            <w:r w:rsidRPr="00666E99">
              <w:rPr>
                <w:rFonts w:ascii="Arial Narrow" w:hAnsi="Arial Narrow"/>
                <w:b/>
                <w:bCs/>
                <w:lang w:val="es-CO"/>
              </w:rPr>
              <w:t>Concepto de la Contraloría General de la República</w:t>
            </w:r>
          </w:p>
          <w:p w14:paraId="52219996"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6E0DDF10"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El 6 de junio del año 2023 la Procuraduría 55 Judicial II para Asuntos Administrativos remitió el acta de fecha 1° de junio de 2023 mediante la cual se aprobó el acuerdo conciliatorio junto con los documentos pertinentes al Tribunal Administrativo de Cundinamarca, para efectos de control de legalidad, a la Agencia Nacional de Defensa Jurídica del Estado, así como a la Contraloría General de la República para los fines del artículo 113 de la Ley 2220 de 2022. </w:t>
            </w:r>
          </w:p>
          <w:p w14:paraId="25336545"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FC0D6AB"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El artículo 113 de la Ley 2220 de 2022 establece el procedimiento de aprobación judicial del acta de acuerdo de conciliación. En este articulo el legislador estableció que la Contraloría puede conceptuar ante el juez de conocimiento sobre la afectación al patrimonio público y de manera obligatoria, en los casos en los que el acuerdo supere 5.000 SMLMV. </w:t>
            </w:r>
          </w:p>
          <w:p w14:paraId="63F8265A"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1E4286E"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Sobre esta función a cargo de la Contraloría, es necesario destacar que, mediante comunicado de prensa No. 9 del 6 y 7 de marzo de 2024, la Corte Constitucional informó que son inexequibles las expresiones </w:t>
            </w:r>
            <w:r w:rsidRPr="00301E50">
              <w:rPr>
                <w:rFonts w:ascii="Arial Narrow" w:hAnsi="Arial Narrow"/>
                <w:i/>
                <w:iCs/>
                <w:lang w:val="es-CO"/>
              </w:rPr>
              <w:t>“y a la Contraloría General de la República para que conceptúe ante el juez de conocimiento sobre si la conciliación afecta o no el patrimonio público, para lo cual tendrá un término de 30 días contados a partir de la recepción del acuerdo conciliatorio</w:t>
            </w:r>
            <w:r w:rsidRPr="00301E50">
              <w:rPr>
                <w:rFonts w:ascii="Arial Narrow" w:hAnsi="Arial Narrow"/>
                <w:lang w:val="es-CO"/>
              </w:rPr>
              <w:t>” del inciso primero; “</w:t>
            </w:r>
            <w:r w:rsidRPr="00301E50">
              <w:rPr>
                <w:rFonts w:ascii="Arial Narrow" w:hAnsi="Arial Narrow"/>
                <w:i/>
                <w:iCs/>
                <w:lang w:val="es-CO"/>
              </w:rPr>
              <w:t>a la fecha en que venza el plazo de la Contraloría para conceptuar</w:t>
            </w:r>
            <w:r w:rsidRPr="00301E50">
              <w:rPr>
                <w:rFonts w:ascii="Arial Narrow" w:hAnsi="Arial Narrow"/>
                <w:lang w:val="es-CO"/>
              </w:rPr>
              <w:t>” del inciso cuarto; y “</w:t>
            </w:r>
            <w:r w:rsidRPr="00301E50">
              <w:rPr>
                <w:rFonts w:ascii="Arial Narrow" w:hAnsi="Arial Narrow"/>
                <w:i/>
                <w:iCs/>
                <w:lang w:val="es-CO"/>
              </w:rPr>
              <w:t>y a la contraloría”</w:t>
            </w:r>
            <w:r w:rsidRPr="00301E50">
              <w:rPr>
                <w:rFonts w:ascii="Arial Narrow" w:hAnsi="Arial Narrow"/>
                <w:lang w:val="es-CO"/>
              </w:rPr>
              <w:t xml:space="preserve"> del inciso sexto, al igual que los incisos segundo, tercero y décimo, todos del artículo 113 de la Ley 2220 de 2022.</w:t>
            </w:r>
          </w:p>
          <w:p w14:paraId="68EFE6B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672E3C1"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No obstante, los comunicados de prensa no tienen fuerza vinculante, ya que los mismos no están revestidos de las características propias de las providencias judiciales y tienen un carácter meramente informativo</w:t>
            </w:r>
            <w:r w:rsidRPr="00301E50">
              <w:rPr>
                <w:rFonts w:ascii="Arial Narrow" w:hAnsi="Arial Narrow"/>
                <w:vertAlign w:val="superscript"/>
                <w:lang w:val="es-CO"/>
              </w:rPr>
              <w:footnoteReference w:id="21"/>
            </w:r>
            <w:r w:rsidRPr="00301E50">
              <w:rPr>
                <w:rFonts w:ascii="Arial Narrow" w:hAnsi="Arial Narrow"/>
                <w:lang w:val="es-CO"/>
              </w:rPr>
              <w:t>. Por tal motivo, a la fecha se encuentra vigente en el ordenamiento jurídico las funciones establecidas a la Contraloría General de la República y en todo caso, se resalta que las actuaciones ya iniciadas se rigen por la ley vigente al tiempo de su iniciación conforme al artículo 40 de la Ley 153 de 1887 y como la declaratoria de inexequibilidad tiene efectos hacia futuro (</w:t>
            </w:r>
            <w:r w:rsidRPr="00301E50">
              <w:rPr>
                <w:rFonts w:ascii="Arial Narrow" w:hAnsi="Arial Narrow"/>
                <w:i/>
                <w:iCs/>
                <w:lang w:val="es-CO"/>
              </w:rPr>
              <w:t>ex nunc</w:t>
            </w:r>
            <w:r w:rsidRPr="00301E50">
              <w:rPr>
                <w:rFonts w:ascii="Arial Narrow" w:hAnsi="Arial Narrow"/>
                <w:lang w:val="es-CO"/>
              </w:rPr>
              <w:t>), el concepto rendido por dicha Entidad dentro del trámite de aprobación judicial no puede ser desestimado o excluido del mismo.</w:t>
            </w:r>
          </w:p>
          <w:p w14:paraId="109844D3"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C9500BC"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En el marco de la anterior competencia, en el presente asunto la Contraloría General de la República remitió de forma voluntaria concepto mediante radicado nro. 2023IE0090362, ya que el presente asunto no supera los 5.000 SMLMV y consideró necesaria esta actuación en defensa del patrimonio público. </w:t>
            </w:r>
          </w:p>
          <w:p w14:paraId="3B49FAF9"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202DF1A9" w14:textId="2E1D41A6"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En el mencionado concepto, la Contraloría General de la República hizo reparos al acuerdo, </w:t>
            </w:r>
            <w:r w:rsidR="00AB7CB6">
              <w:rPr>
                <w:rFonts w:ascii="Arial Narrow" w:hAnsi="Arial Narrow"/>
                <w:lang w:val="es-CO"/>
              </w:rPr>
              <w:t xml:space="preserve">pues </w:t>
            </w:r>
            <w:r w:rsidRPr="00301E50">
              <w:rPr>
                <w:rFonts w:ascii="Arial Narrow" w:hAnsi="Arial Narrow"/>
                <w:lang w:val="es-CO"/>
              </w:rPr>
              <w:t>consider</w:t>
            </w:r>
            <w:r w:rsidR="00AB7CB6">
              <w:rPr>
                <w:rFonts w:ascii="Arial Narrow" w:hAnsi="Arial Narrow"/>
                <w:lang w:val="es-CO"/>
              </w:rPr>
              <w:t xml:space="preserve">ó </w:t>
            </w:r>
            <w:r w:rsidRPr="00301E50">
              <w:rPr>
                <w:rFonts w:ascii="Arial Narrow" w:hAnsi="Arial Narrow"/>
                <w:lang w:val="es-CO"/>
              </w:rPr>
              <w:t>que el erario e</w:t>
            </w:r>
            <w:r w:rsidR="00AB7CB6">
              <w:rPr>
                <w:rFonts w:ascii="Arial Narrow" w:hAnsi="Arial Narrow"/>
                <w:lang w:val="es-CO"/>
              </w:rPr>
              <w:t>staba en</w:t>
            </w:r>
            <w:r w:rsidRPr="00301E50">
              <w:rPr>
                <w:rFonts w:ascii="Arial Narrow" w:hAnsi="Arial Narrow"/>
                <w:lang w:val="es-CO"/>
              </w:rPr>
              <w:t xml:space="preserve"> en riesgo, en la medida que no entiende cuál fue el criterio tenido en cuenta por el Ministerio Público para salvaguardar el patrimonio público, cuando se pretende conciliar un faltante de ejecución del contrato (0,43%) advertido por la interventoría, fueron excluidas las imágenes perdidas de las reclamaciones y recobros del Fosyga, y además, no es claro y no se encuentra sustento del por qué la ADRES aceptó la propuesta conciliatoria, si el valor final del acuerdo corresponde al 57% de lo pretendido por la ADRES.</w:t>
            </w:r>
          </w:p>
          <w:p w14:paraId="1D9C93A6"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0F5855B" w14:textId="54D30682" w:rsidR="00666E99" w:rsidRDefault="00301E50" w:rsidP="00666E99">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Teniendo en cuenta las anteriores consideraciones, la Contraloría General de la República no compartió la </w:t>
            </w:r>
            <w:r w:rsidR="00AB7CB6">
              <w:rPr>
                <w:rFonts w:ascii="Arial Narrow" w:hAnsi="Arial Narrow"/>
                <w:lang w:val="es-CO"/>
              </w:rPr>
              <w:t xml:space="preserve">viabilidad </w:t>
            </w:r>
            <w:r w:rsidRPr="00301E50">
              <w:rPr>
                <w:rFonts w:ascii="Arial Narrow" w:hAnsi="Arial Narrow"/>
                <w:lang w:val="es-CO"/>
              </w:rPr>
              <w:t xml:space="preserve"> de la conciliación efectuada por el Ministerio Público, al resultar lesiva para el patrimonio público, por lo que solicitó al Tribunal Administrativo de Cundinamarca no aprobarla.</w:t>
            </w:r>
          </w:p>
          <w:p w14:paraId="62D06F58" w14:textId="77777777" w:rsidR="00666E99" w:rsidRDefault="00666E99" w:rsidP="00666E99">
            <w:pPr>
              <w:pStyle w:val="TableParagraph"/>
              <w:tabs>
                <w:tab w:val="left" w:pos="584"/>
              </w:tabs>
              <w:ind w:left="720" w:right="567"/>
              <w:jc w:val="both"/>
              <w:rPr>
                <w:rFonts w:ascii="Arial Narrow" w:hAnsi="Arial Narrow"/>
                <w:lang w:val="es-CO"/>
              </w:rPr>
            </w:pPr>
          </w:p>
          <w:p w14:paraId="08AA665A" w14:textId="17D11651" w:rsidR="00301E50" w:rsidRPr="002F7F1F" w:rsidRDefault="00666E99" w:rsidP="00666E99">
            <w:pPr>
              <w:pStyle w:val="TableParagraph"/>
              <w:tabs>
                <w:tab w:val="left" w:pos="584"/>
              </w:tabs>
              <w:ind w:left="720" w:right="567"/>
              <w:jc w:val="both"/>
              <w:rPr>
                <w:rFonts w:ascii="Arial Narrow" w:hAnsi="Arial Narrow"/>
                <w:b/>
                <w:bCs/>
                <w:lang w:val="es-CO"/>
              </w:rPr>
            </w:pPr>
            <w:r w:rsidRPr="002F7F1F">
              <w:rPr>
                <w:rFonts w:ascii="Arial Narrow" w:hAnsi="Arial Narrow"/>
                <w:b/>
                <w:bCs/>
                <w:lang w:val="es-CO"/>
              </w:rPr>
              <w:t>Decisión del</w:t>
            </w:r>
            <w:r w:rsidR="00301E50" w:rsidRPr="002F7F1F">
              <w:rPr>
                <w:rFonts w:ascii="Arial Narrow" w:hAnsi="Arial Narrow"/>
                <w:b/>
                <w:bCs/>
                <w:lang w:val="es-CO"/>
              </w:rPr>
              <w:t xml:space="preserve"> Tribunal Administrativo de Cundinamarca</w:t>
            </w:r>
            <w:r w:rsidR="002F7F1F" w:rsidRPr="002F7F1F">
              <w:rPr>
                <w:rFonts w:ascii="Arial Narrow" w:hAnsi="Arial Narrow"/>
                <w:b/>
                <w:bCs/>
                <w:lang w:val="es-CO"/>
              </w:rPr>
              <w:t xml:space="preserve"> de</w:t>
            </w:r>
            <w:r w:rsidR="00301E50" w:rsidRPr="002F7F1F">
              <w:rPr>
                <w:rFonts w:ascii="Arial Narrow" w:hAnsi="Arial Narrow"/>
                <w:b/>
                <w:bCs/>
                <w:lang w:val="es-CO"/>
              </w:rPr>
              <w:t xml:space="preserve"> impr</w:t>
            </w:r>
            <w:r w:rsidR="002F7F1F" w:rsidRPr="002F7F1F">
              <w:rPr>
                <w:rFonts w:ascii="Arial Narrow" w:hAnsi="Arial Narrow"/>
                <w:b/>
                <w:bCs/>
                <w:lang w:val="es-CO"/>
              </w:rPr>
              <w:t>obar</w:t>
            </w:r>
            <w:r w:rsidR="00301E50" w:rsidRPr="002F7F1F">
              <w:rPr>
                <w:rFonts w:ascii="Arial Narrow" w:hAnsi="Arial Narrow"/>
                <w:b/>
                <w:bCs/>
                <w:lang w:val="es-CO"/>
              </w:rPr>
              <w:t xml:space="preserve"> el acuerdo conciliatorio</w:t>
            </w:r>
          </w:p>
          <w:p w14:paraId="0C253AA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0B47D5BD"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A través de Auto del 19 de octubre de 2023 notificado por estado el día 17 de enero de 2024, el Tribunal Administrativo de Cundinamarca, al realizar el respectivo control de legalidad con base en los parámetros establecidos en la ley y la jurisprudencia, resolvió lo siguiente: </w:t>
            </w:r>
          </w:p>
          <w:p w14:paraId="5DDF688F"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EBB18EE" w14:textId="77777777" w:rsidR="00301E50" w:rsidRPr="00301E50" w:rsidRDefault="00301E50" w:rsidP="00710D9B">
            <w:pPr>
              <w:pStyle w:val="TableParagraph"/>
              <w:tabs>
                <w:tab w:val="left" w:pos="584"/>
              </w:tabs>
              <w:ind w:left="1014" w:right="567"/>
              <w:jc w:val="both"/>
              <w:rPr>
                <w:rFonts w:ascii="Arial Narrow" w:hAnsi="Arial Narrow"/>
                <w:i/>
                <w:iCs/>
                <w:lang w:val="es-CO"/>
              </w:rPr>
            </w:pPr>
            <w:r w:rsidRPr="00301E50">
              <w:rPr>
                <w:rFonts w:ascii="Arial Narrow" w:hAnsi="Arial Narrow"/>
                <w:i/>
                <w:iCs/>
                <w:lang w:val="es-CO"/>
              </w:rPr>
              <w:t>“IMPROBAR el acuerdo conciliatorio celebrado entre FIDUPREVISORA S.A. y FIDUCIARIA COLOMBIANA DE COMERCIO EXTERIOR S.A.– FIDUCOLDEX, integrantes del CONSORCIO SAYP 2011, Y LA ADMINISTRADORA DE LOS RECURSOS DEL SISTEMA GENERAL DE SEGURIDAD SOCIAL EN SALUD- ADRES”, de conformidad con la parte motiva de esta providencia.”</w:t>
            </w:r>
          </w:p>
          <w:p w14:paraId="4AB83A47"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18A08B24"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Para adoptar la anterior decisión, el Tribunal consideró que el acuerdo celebrado puede resultar lesivo para los intereses de la Entidad, habida cuenta que no hay claridad y certeza sobre el valor que la ADRES podría ser obligada a renunciar por conceptos asociados a recursos del Sistema y adicionalmente, existe incertidumbre sobre el futuro cumplimiento de las obligaciones de hacer, relativas a la recuperación de imágenes.</w:t>
            </w:r>
          </w:p>
          <w:p w14:paraId="62069348"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14D1BA1"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Para arribar a esta conclusión, el Tribunal consideró que existen dineros que debían ser reintegrados por ser parte del Sistema General de Seguridad Social en Salud, los cuales no fueron discutidos en los acuerdos con suficiencia y corresponden a obligaciones advertidas por la interventoría, como valores relacionados a embargos, pagarés no entregados, procesos de repetición y cheques devueltos. Por lo que, el Tribunal señaló que existen temas y obligaciones indeclinables que involucran recursos del sistema de salud que fueron desestimados y hacen parte de la cifra a conciliar sin que fueran decantadas en el acuerdo.</w:t>
            </w:r>
          </w:p>
          <w:p w14:paraId="7629CD98"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CC145D1" w14:textId="1A0F1169"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Adicionalmente, sobre las obligaciones de hacer estipuladas por la </w:t>
            </w:r>
            <w:r w:rsidR="00E70550" w:rsidRPr="00301E50">
              <w:rPr>
                <w:rFonts w:ascii="Arial Narrow" w:hAnsi="Arial Narrow"/>
                <w:lang w:val="es-CO"/>
              </w:rPr>
              <w:t>pérdida</w:t>
            </w:r>
            <w:r w:rsidRPr="00301E50">
              <w:rPr>
                <w:rFonts w:ascii="Arial Narrow" w:hAnsi="Arial Narrow"/>
                <w:lang w:val="es-CO"/>
              </w:rPr>
              <w:t xml:space="preserve"> de imágenes de recobros y reclamaciones, el Tribunal manifestó que se generan impactos importantes que a futuro pueden resultar infructuosos </w:t>
            </w:r>
            <w:r w:rsidRPr="00301E50">
              <w:rPr>
                <w:rFonts w:ascii="Arial Narrow" w:hAnsi="Arial Narrow"/>
                <w:lang w:val="es-CO"/>
              </w:rPr>
              <w:lastRenderedPageBreak/>
              <w:t xml:space="preserve">al extenderse la obligación en el tiempo. </w:t>
            </w:r>
          </w:p>
          <w:p w14:paraId="5DA037AB"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668485AB"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Como se puede observar, con base en el concepto emitido por la Contraloría General de la República y la decisión del Tribunal Administrativo de Cundinamarca, existen condiciones y circunstancias que permiten evidenciar una afectación al patrimonio público con la decisión adoptada en sesión extraordinaria nro. 121 y el acuerdo conciliatorio suscrito el 31 de mayo de 2023.</w:t>
            </w:r>
          </w:p>
          <w:p w14:paraId="0508D634"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3961D181" w14:textId="77777777" w:rsidR="00E70550" w:rsidRDefault="00301E50" w:rsidP="00E70550">
            <w:pPr>
              <w:pStyle w:val="TableParagraph"/>
              <w:tabs>
                <w:tab w:val="left" w:pos="584"/>
              </w:tabs>
              <w:ind w:left="720" w:right="567"/>
              <w:jc w:val="both"/>
              <w:rPr>
                <w:rFonts w:ascii="Arial Narrow" w:hAnsi="Arial Narrow"/>
                <w:lang w:val="es-CO"/>
              </w:rPr>
            </w:pPr>
            <w:r w:rsidRPr="00301E50">
              <w:rPr>
                <w:rFonts w:ascii="Arial Narrow" w:hAnsi="Arial Narrow"/>
                <w:lang w:val="es-CO"/>
              </w:rPr>
              <w:t>Por consiguiente, en aras de garantizar los principios especiales para la conciliación en materia de lo contencioso administrativo, en particular, la salvaguarda y protección del patrimonio público, se recomienda al Comité de Conciliación de la ADRES, modificar la decisión adoptada en la sesión extraordinaria nro. 121 del 29 de noviembre de 2022, en el sentido de presentar desistimiento al acuerdo conciliatorio.</w:t>
            </w:r>
          </w:p>
          <w:p w14:paraId="716D528F" w14:textId="77777777" w:rsidR="00E70550" w:rsidRDefault="00E70550" w:rsidP="00E70550">
            <w:pPr>
              <w:pStyle w:val="TableParagraph"/>
              <w:tabs>
                <w:tab w:val="left" w:pos="584"/>
              </w:tabs>
              <w:ind w:left="720" w:right="567"/>
              <w:jc w:val="both"/>
              <w:rPr>
                <w:rFonts w:ascii="Arial Narrow" w:hAnsi="Arial Narrow"/>
                <w:lang w:val="es-CO"/>
              </w:rPr>
            </w:pPr>
          </w:p>
          <w:p w14:paraId="0D6260D3" w14:textId="75F2D5FB" w:rsidR="00301E50" w:rsidRPr="00E70550" w:rsidRDefault="00E70550" w:rsidP="00E70550">
            <w:pPr>
              <w:pStyle w:val="TableParagraph"/>
              <w:tabs>
                <w:tab w:val="left" w:pos="584"/>
              </w:tabs>
              <w:ind w:left="720" w:right="567"/>
              <w:jc w:val="both"/>
              <w:rPr>
                <w:rFonts w:ascii="Arial Narrow" w:hAnsi="Arial Narrow"/>
                <w:lang w:val="es-CO"/>
              </w:rPr>
            </w:pPr>
            <w:r w:rsidRPr="00E70550">
              <w:rPr>
                <w:rFonts w:ascii="Arial Narrow" w:hAnsi="Arial Narrow"/>
                <w:b/>
                <w:bCs/>
                <w:lang w:val="es-CO"/>
              </w:rPr>
              <w:t>11.1</w:t>
            </w:r>
            <w:r>
              <w:rPr>
                <w:rFonts w:ascii="Arial Narrow" w:hAnsi="Arial Narrow"/>
                <w:lang w:val="es-CO"/>
              </w:rPr>
              <w:t xml:space="preserve"> </w:t>
            </w:r>
            <w:r w:rsidR="00301E50" w:rsidRPr="00301E50">
              <w:rPr>
                <w:rFonts w:ascii="Arial Narrow" w:hAnsi="Arial Narrow"/>
                <w:b/>
                <w:lang w:val="es-CO"/>
              </w:rPr>
              <w:t>Decisión del Comité de Conciliación de la ADRES</w:t>
            </w:r>
          </w:p>
          <w:p w14:paraId="12292CE3"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0ABB6B6" w14:textId="5ADAE91B"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En sesión extraordinaria 168 del 31 de mayo de 2024, el Comité de Conciliación de la ADRES </w:t>
            </w:r>
            <w:r w:rsidR="00904E91">
              <w:rPr>
                <w:rFonts w:ascii="Arial Narrow" w:hAnsi="Arial Narrow"/>
                <w:lang w:val="es-CO"/>
              </w:rPr>
              <w:t>modificó</w:t>
            </w:r>
            <w:r w:rsidRPr="00301E50">
              <w:rPr>
                <w:rFonts w:ascii="Arial Narrow" w:hAnsi="Arial Narrow"/>
                <w:lang w:val="es-CO"/>
              </w:rPr>
              <w:t xml:space="preserve"> la decisión adoptada en sesión extraordinaria 121 del 29 de noviembre de 2022, por medio de la cual se recomendó presentar fórmula conciliatoria, en razón a que el acuerdo conciliatorio suscrito por la ADRES con el Consorcio SAYP 2011 aún no surte efectos a la vida jurídica, por encontrarse pendiente de homologación judicial y, en atención al carácter consensual de la conciliación como mecanismo autocompositivo, se considera viable desde el punto de vista jurídico presentar el desistimiento al acuerdo.</w:t>
            </w:r>
          </w:p>
          <w:p w14:paraId="668D516F"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567A100D" w14:textId="2588B101"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Lo anterior, en consideración a que </w:t>
            </w:r>
            <w:r w:rsidR="0049437E">
              <w:rPr>
                <w:rFonts w:ascii="Arial Narrow" w:hAnsi="Arial Narrow"/>
                <w:lang w:val="es-CO"/>
              </w:rPr>
              <w:t xml:space="preserve">no existe </w:t>
            </w:r>
            <w:r w:rsidRPr="00301E50">
              <w:rPr>
                <w:rFonts w:ascii="Arial Narrow" w:hAnsi="Arial Narrow"/>
                <w:lang w:val="es-CO"/>
              </w:rPr>
              <w:t xml:space="preserve">riesgo jurídico derivado del proceso judicial Rad. 25000233600020170008200, a raíz de la sentencia de segunda instancia del 23 de noviembre de 2022 </w:t>
            </w:r>
            <w:r w:rsidR="0049437E">
              <w:rPr>
                <w:rFonts w:ascii="Arial Narrow" w:hAnsi="Arial Narrow"/>
                <w:lang w:val="es-CO"/>
              </w:rPr>
              <w:t xml:space="preserve">que </w:t>
            </w:r>
            <w:r w:rsidR="00CF1FC1">
              <w:rPr>
                <w:rFonts w:ascii="Arial Narrow" w:hAnsi="Arial Narrow"/>
                <w:lang w:val="es-CO"/>
              </w:rPr>
              <w:t xml:space="preserve">negó las pretensiones de </w:t>
            </w:r>
            <w:r w:rsidR="00904E91">
              <w:rPr>
                <w:rFonts w:ascii="Arial Narrow" w:hAnsi="Arial Narrow"/>
                <w:lang w:val="es-CO"/>
              </w:rPr>
              <w:t xml:space="preserve">la demanda en su totalidad, siendo </w:t>
            </w:r>
            <w:r w:rsidR="00B8421A">
              <w:rPr>
                <w:rFonts w:ascii="Arial Narrow" w:hAnsi="Arial Narrow"/>
                <w:lang w:val="es-CO"/>
              </w:rPr>
              <w:t>esta situación favorable para los intereses de la ADRES.</w:t>
            </w:r>
          </w:p>
          <w:p w14:paraId="23C69ED0"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15C74E1C" w14:textId="51CE94C1"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 xml:space="preserve">Aunado a lo </w:t>
            </w:r>
            <w:r w:rsidR="005E1588">
              <w:rPr>
                <w:rFonts w:ascii="Arial Narrow" w:hAnsi="Arial Narrow"/>
                <w:lang w:val="es-CO"/>
              </w:rPr>
              <w:t>expuesto</w:t>
            </w:r>
            <w:r w:rsidRPr="00301E50">
              <w:rPr>
                <w:rFonts w:ascii="Arial Narrow" w:hAnsi="Arial Narrow"/>
                <w:lang w:val="es-CO"/>
              </w:rPr>
              <w:t xml:space="preserve">, no se encontraban acreditados con suficiencia elementos que permitieran verificar la existencia de hechos constitutivos de causal de revocatoria directa en las resoluciones </w:t>
            </w:r>
            <w:r w:rsidR="00A15A3B">
              <w:rPr>
                <w:rFonts w:ascii="Arial Narrow" w:hAnsi="Arial Narrow"/>
                <w:lang w:val="es-CO"/>
              </w:rPr>
              <w:t>No.</w:t>
            </w:r>
            <w:r w:rsidRPr="00301E50">
              <w:rPr>
                <w:rFonts w:ascii="Arial Narrow" w:hAnsi="Arial Narrow"/>
                <w:lang w:val="es-CO"/>
              </w:rPr>
              <w:t xml:space="preserve"> 544 de 2021 y </w:t>
            </w:r>
            <w:r w:rsidR="00986236">
              <w:rPr>
                <w:rFonts w:ascii="Arial Narrow" w:hAnsi="Arial Narrow"/>
                <w:lang w:val="es-CO"/>
              </w:rPr>
              <w:t>No.</w:t>
            </w:r>
            <w:r w:rsidRPr="00301E50">
              <w:rPr>
                <w:rFonts w:ascii="Arial Narrow" w:hAnsi="Arial Narrow"/>
                <w:lang w:val="es-CO"/>
              </w:rPr>
              <w:t xml:space="preserve"> 609 de 2021, así como tampoco, se encontra</w:t>
            </w:r>
            <w:r w:rsidR="00986236">
              <w:rPr>
                <w:rFonts w:ascii="Arial Narrow" w:hAnsi="Arial Narrow"/>
                <w:lang w:val="es-CO"/>
              </w:rPr>
              <w:t>ba probada</w:t>
            </w:r>
            <w:r w:rsidRPr="00301E50">
              <w:rPr>
                <w:rFonts w:ascii="Arial Narrow" w:hAnsi="Arial Narrow"/>
                <w:lang w:val="es-CO"/>
              </w:rPr>
              <w:t xml:space="preserve"> la </w:t>
            </w:r>
            <w:r w:rsidR="00986236">
              <w:rPr>
                <w:rFonts w:ascii="Arial Narrow" w:hAnsi="Arial Narrow"/>
                <w:lang w:val="es-CO"/>
              </w:rPr>
              <w:t xml:space="preserve">presunta </w:t>
            </w:r>
            <w:r w:rsidRPr="00301E50">
              <w:rPr>
                <w:rFonts w:ascii="Arial Narrow" w:hAnsi="Arial Narrow"/>
                <w:lang w:val="es-CO"/>
              </w:rPr>
              <w:t>falsa motivación de estos actos administrativos. Por consiguiente, no eran ciertos y completos los fundamentos facticos y jurídicos presentados al Comité de Conciliación que dieron lugar a la toma de la decisión en el presente asunto.</w:t>
            </w:r>
          </w:p>
          <w:p w14:paraId="1A0C32A9"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6100307E"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Adicionalmente, la Contraloría General de la República y el Tribunal Administrativo de Cundinamarca advirtieron condiciones del acuerdo conciliatorio que afectan o lesionan el patrimonio de la Entidad, por cuanto no fue clara la justificación de la ADRES para haber aceptado la propuesta conciliatoria, existen temas y obligaciones indeclinables que involucran recursos del sistema de salud que fueron desestimados y hay incertidumbre frente al cumplimiento de las obligaciones relativas a la recuperación de imágenes.</w:t>
            </w:r>
          </w:p>
          <w:p w14:paraId="5F514D54" w14:textId="77777777" w:rsidR="00301E50" w:rsidRPr="00301E50" w:rsidRDefault="00301E50" w:rsidP="00301E50">
            <w:pPr>
              <w:pStyle w:val="TableParagraph"/>
              <w:tabs>
                <w:tab w:val="left" w:pos="584"/>
              </w:tabs>
              <w:ind w:left="720" w:right="567"/>
              <w:jc w:val="both"/>
              <w:rPr>
                <w:rFonts w:ascii="Arial Narrow" w:hAnsi="Arial Narrow"/>
                <w:lang w:val="es-CO"/>
              </w:rPr>
            </w:pPr>
          </w:p>
          <w:p w14:paraId="4D107D83" w14:textId="77777777" w:rsidR="00301E50" w:rsidRPr="00301E50" w:rsidRDefault="00301E50" w:rsidP="00301E50">
            <w:pPr>
              <w:pStyle w:val="TableParagraph"/>
              <w:tabs>
                <w:tab w:val="left" w:pos="584"/>
              </w:tabs>
              <w:ind w:left="720" w:right="567"/>
              <w:jc w:val="both"/>
              <w:rPr>
                <w:rFonts w:ascii="Arial Narrow" w:hAnsi="Arial Narrow"/>
                <w:lang w:val="es-CO"/>
              </w:rPr>
            </w:pPr>
            <w:r w:rsidRPr="00301E50">
              <w:rPr>
                <w:rFonts w:ascii="Arial Narrow" w:hAnsi="Arial Narrow"/>
                <w:lang w:val="es-CO"/>
              </w:rPr>
              <w:t>En ese orden de ideas, con la finalidad de garantizar los principios especiales para la conciliación en materia de lo contencioso administrativo, en particular, la salvaguarda y protección del patrimonio público, la decisión adoptada en sesión extraordinaria nro. 121 del 29 de noviembre de 2022 fue modificada por el Comité de Conciliación de la ADRES.</w:t>
            </w:r>
          </w:p>
          <w:p w14:paraId="1D79E133" w14:textId="359C2796" w:rsidR="009C2721" w:rsidRPr="007F2B6C" w:rsidRDefault="009C2721" w:rsidP="009C2721">
            <w:pPr>
              <w:pStyle w:val="TableParagraph"/>
              <w:tabs>
                <w:tab w:val="left" w:pos="584"/>
              </w:tabs>
              <w:ind w:right="567"/>
              <w:jc w:val="both"/>
              <w:rPr>
                <w:rFonts w:ascii="Arial Narrow" w:hAnsi="Arial Narrow"/>
                <w:color w:val="FF0000"/>
                <w:lang w:val="es-CO"/>
              </w:rPr>
            </w:pPr>
          </w:p>
          <w:p w14:paraId="3F655AA5" w14:textId="0DB83408" w:rsidR="009D509B" w:rsidRPr="007F2B6C" w:rsidRDefault="002E2A89" w:rsidP="0004565E">
            <w:pPr>
              <w:pStyle w:val="TableParagraph"/>
              <w:numPr>
                <w:ilvl w:val="0"/>
                <w:numId w:val="2"/>
              </w:numPr>
              <w:tabs>
                <w:tab w:val="left" w:pos="584"/>
              </w:tabs>
              <w:ind w:left="836" w:right="458"/>
              <w:jc w:val="both"/>
              <w:rPr>
                <w:rFonts w:ascii="Arial Narrow" w:hAnsi="Arial Narrow"/>
                <w:color w:val="000000" w:themeColor="text1"/>
                <w:lang w:val="es-CO"/>
              </w:rPr>
            </w:pPr>
            <w:r w:rsidRPr="007F2B6C">
              <w:rPr>
                <w:rFonts w:ascii="Arial Narrow" w:hAnsi="Arial Narrow"/>
                <w:b/>
                <w:color w:val="000000" w:themeColor="text1"/>
                <w:lang w:val="es-CO"/>
              </w:rPr>
              <w:t xml:space="preserve">Análisis de </w:t>
            </w:r>
            <w:r w:rsidR="0007261C">
              <w:rPr>
                <w:rFonts w:ascii="Arial Narrow" w:hAnsi="Arial Narrow"/>
                <w:b/>
                <w:color w:val="000000" w:themeColor="text1"/>
                <w:lang w:val="es-CO"/>
              </w:rPr>
              <w:t>caducidad.</w:t>
            </w:r>
          </w:p>
          <w:p w14:paraId="2E53378C" w14:textId="77777777" w:rsidR="009D509B" w:rsidRPr="007F2B6C" w:rsidRDefault="009D509B" w:rsidP="0096478A">
            <w:pPr>
              <w:pStyle w:val="TableParagraph"/>
              <w:tabs>
                <w:tab w:val="left" w:pos="584"/>
              </w:tabs>
              <w:ind w:left="440" w:right="458"/>
              <w:jc w:val="both"/>
              <w:rPr>
                <w:rFonts w:ascii="Arial Narrow" w:hAnsi="Arial Narrow"/>
                <w:color w:val="000000" w:themeColor="text1"/>
                <w:lang w:val="es-CO"/>
              </w:rPr>
            </w:pPr>
          </w:p>
          <w:p w14:paraId="6CCC645F" w14:textId="5FD7DA85" w:rsidR="00B11703" w:rsidRPr="00C577BA" w:rsidRDefault="00C73635" w:rsidP="00B11703">
            <w:pPr>
              <w:pStyle w:val="Prrafodelista"/>
              <w:tabs>
                <w:tab w:val="left" w:pos="584"/>
              </w:tabs>
              <w:ind w:left="440" w:right="545"/>
              <w:jc w:val="both"/>
              <w:rPr>
                <w:rFonts w:ascii="Arial Narrow" w:hAnsi="Arial Narrow"/>
                <w:lang w:val="es-CO"/>
              </w:rPr>
            </w:pPr>
            <w:r>
              <w:rPr>
                <w:rFonts w:ascii="Arial Narrow" w:hAnsi="Arial Narrow"/>
                <w:lang w:val="es-CO"/>
              </w:rPr>
              <w:t>De</w:t>
            </w:r>
            <w:r w:rsidR="00B11703" w:rsidRPr="00C577BA">
              <w:rPr>
                <w:rFonts w:ascii="Arial Narrow" w:hAnsi="Arial Narrow"/>
                <w:lang w:val="es-CO"/>
              </w:rPr>
              <w:t xml:space="preserve"> acuerdo con la solicitud de conciliación, el medio de control presentado es el de </w:t>
            </w:r>
            <w:r w:rsidR="00B11703">
              <w:rPr>
                <w:rFonts w:ascii="Arial Narrow" w:hAnsi="Arial Narrow"/>
                <w:lang w:val="es-CO"/>
              </w:rPr>
              <w:t>controversias contractuales</w:t>
            </w:r>
            <w:r w:rsidR="00B11703" w:rsidRPr="00C577BA">
              <w:rPr>
                <w:rFonts w:ascii="Arial Narrow" w:hAnsi="Arial Narrow"/>
                <w:lang w:val="es-CO"/>
              </w:rPr>
              <w:t xml:space="preserve"> consagrado en el artículo 1</w:t>
            </w:r>
            <w:r w:rsidR="00B11703">
              <w:rPr>
                <w:rFonts w:ascii="Arial Narrow" w:hAnsi="Arial Narrow"/>
                <w:lang w:val="es-CO"/>
              </w:rPr>
              <w:t>41</w:t>
            </w:r>
            <w:r w:rsidR="00B11703" w:rsidRPr="00C577BA">
              <w:rPr>
                <w:rStyle w:val="Refdenotaalpie"/>
                <w:rFonts w:ascii="Arial Narrow" w:hAnsi="Arial Narrow"/>
                <w:lang w:val="es-CO"/>
              </w:rPr>
              <w:footnoteReference w:id="22"/>
            </w:r>
            <w:r w:rsidR="00B11703" w:rsidRPr="00C577BA">
              <w:rPr>
                <w:rFonts w:ascii="Arial Narrow" w:hAnsi="Arial Narrow"/>
                <w:lang w:val="es-CO"/>
              </w:rPr>
              <w:t xml:space="preserve"> del Código de Procedimiento Administrativo y de lo Contencioso Administrativo. Al </w:t>
            </w:r>
            <w:r w:rsidR="00B11703" w:rsidRPr="00C577BA">
              <w:rPr>
                <w:rFonts w:ascii="Arial Narrow" w:hAnsi="Arial Narrow"/>
                <w:lang w:val="es-CO"/>
              </w:rPr>
              <w:lastRenderedPageBreak/>
              <w:t xml:space="preserve">respecto, el término de caducidad para la presentación de </w:t>
            </w:r>
            <w:r w:rsidR="00AB4DCE">
              <w:rPr>
                <w:rFonts w:ascii="Arial Narrow" w:hAnsi="Arial Narrow"/>
                <w:lang w:val="es-CO"/>
              </w:rPr>
              <w:t xml:space="preserve">la demanda </w:t>
            </w:r>
            <w:r w:rsidR="00171079">
              <w:rPr>
                <w:rFonts w:ascii="Arial Narrow" w:hAnsi="Arial Narrow"/>
                <w:lang w:val="es-CO"/>
              </w:rPr>
              <w:t xml:space="preserve">está establecido en </w:t>
            </w:r>
            <w:r w:rsidR="00B11703" w:rsidRPr="00C577BA">
              <w:rPr>
                <w:rFonts w:ascii="Arial Narrow" w:hAnsi="Arial Narrow"/>
                <w:lang w:val="es-CO"/>
              </w:rPr>
              <w:t xml:space="preserve">el literal </w:t>
            </w:r>
            <w:r w:rsidR="00B11703">
              <w:rPr>
                <w:rFonts w:ascii="Arial Narrow" w:hAnsi="Arial Narrow"/>
                <w:lang w:val="es-CO"/>
              </w:rPr>
              <w:t>j</w:t>
            </w:r>
            <w:r w:rsidR="00B11703" w:rsidRPr="00C577BA">
              <w:rPr>
                <w:rFonts w:ascii="Arial Narrow" w:hAnsi="Arial Narrow"/>
                <w:lang w:val="es-CO"/>
              </w:rPr>
              <w:t xml:space="preserve">) del numeral segundo del artículo 164 </w:t>
            </w:r>
            <w:r w:rsidR="00B11703" w:rsidRPr="003D4484">
              <w:rPr>
                <w:rFonts w:ascii="Arial Narrow" w:hAnsi="Arial Narrow"/>
                <w:lang w:val="es-CO"/>
              </w:rPr>
              <w:t>ibidem</w:t>
            </w:r>
            <w:r w:rsidR="00B11703" w:rsidRPr="00C577BA">
              <w:rPr>
                <w:rFonts w:ascii="Arial Narrow" w:hAnsi="Arial Narrow"/>
                <w:lang w:val="es-CO"/>
              </w:rPr>
              <w:t>, el cual refiere lo siguiente:</w:t>
            </w:r>
          </w:p>
          <w:p w14:paraId="78336F5E" w14:textId="77777777" w:rsidR="00B11703" w:rsidRPr="00C577BA" w:rsidRDefault="00B11703" w:rsidP="00B11703">
            <w:pPr>
              <w:pStyle w:val="TableParagraph"/>
              <w:ind w:left="582" w:right="567"/>
              <w:jc w:val="both"/>
              <w:rPr>
                <w:rFonts w:ascii="Arial Narrow" w:hAnsi="Arial Narrow"/>
                <w:lang w:val="es-CO"/>
              </w:rPr>
            </w:pPr>
          </w:p>
          <w:p w14:paraId="684467DA" w14:textId="77777777" w:rsidR="00B11703" w:rsidRPr="0003632E" w:rsidRDefault="00B11703" w:rsidP="00171079">
            <w:pPr>
              <w:pStyle w:val="TableParagraph"/>
              <w:ind w:left="1134" w:right="474"/>
              <w:jc w:val="both"/>
              <w:rPr>
                <w:rFonts w:ascii="Arial Narrow" w:hAnsi="Arial Narrow"/>
                <w:i/>
                <w:iCs/>
                <w:sz w:val="20"/>
                <w:szCs w:val="20"/>
                <w:lang w:val="es-CO"/>
              </w:rPr>
            </w:pPr>
            <w:r w:rsidRPr="00C577BA">
              <w:rPr>
                <w:rFonts w:ascii="Arial Narrow" w:hAnsi="Arial Narrow"/>
                <w:i/>
                <w:iCs/>
                <w:sz w:val="20"/>
                <w:szCs w:val="20"/>
                <w:lang w:val="es-CO"/>
              </w:rPr>
              <w:t>“</w:t>
            </w:r>
            <w:r w:rsidRPr="0003632E">
              <w:rPr>
                <w:rFonts w:ascii="Arial Narrow" w:hAnsi="Arial Narrow"/>
                <w:i/>
                <w:iCs/>
                <w:sz w:val="20"/>
                <w:szCs w:val="20"/>
                <w:lang w:val="es-CO"/>
              </w:rPr>
              <w:t>j) En las relativas a contratos el término para demandar será de dos (2) años que se contarán a partir del día siguiente a la ocurrencia de los motivos de hecho o de derecho que les sirvan de fundamento.</w:t>
            </w:r>
          </w:p>
          <w:p w14:paraId="2350F608" w14:textId="77777777" w:rsidR="00B11703" w:rsidRPr="0003632E" w:rsidRDefault="00B11703" w:rsidP="00171079">
            <w:pPr>
              <w:pStyle w:val="TableParagraph"/>
              <w:ind w:left="1134" w:right="474"/>
              <w:jc w:val="both"/>
              <w:rPr>
                <w:rFonts w:ascii="Arial Narrow" w:hAnsi="Arial Narrow"/>
                <w:i/>
                <w:iCs/>
                <w:sz w:val="20"/>
                <w:szCs w:val="20"/>
                <w:lang w:val="es-CO"/>
              </w:rPr>
            </w:pPr>
          </w:p>
          <w:p w14:paraId="73FB5098" w14:textId="77777777" w:rsidR="00B11703" w:rsidRPr="0003632E" w:rsidRDefault="00B11703" w:rsidP="00171079">
            <w:pPr>
              <w:pStyle w:val="TableParagraph"/>
              <w:ind w:left="1134" w:right="474"/>
              <w:jc w:val="both"/>
              <w:rPr>
                <w:rFonts w:ascii="Arial Narrow" w:hAnsi="Arial Narrow"/>
                <w:i/>
                <w:iCs/>
                <w:sz w:val="20"/>
                <w:szCs w:val="20"/>
                <w:lang w:val="es-CO"/>
              </w:rPr>
            </w:pPr>
            <w:r w:rsidRPr="0003632E">
              <w:rPr>
                <w:rFonts w:ascii="Arial Narrow" w:hAnsi="Arial Narrow"/>
                <w:i/>
                <w:iCs/>
                <w:sz w:val="20"/>
                <w:szCs w:val="20"/>
                <w:lang w:val="es-CO"/>
              </w:rPr>
              <w:t>Cuando se pretenda la nulidad absoluta o relativa del contrato, el término para demandar será de dos (2) años que se empezarán a contar desde el día siguiente al de su perfeccionamiento. En todo caso, podrá demandarse la nulidad absoluta del contrato mientras este se encuentre vigente.</w:t>
            </w:r>
          </w:p>
          <w:p w14:paraId="0B4FC032" w14:textId="77777777" w:rsidR="00B11703" w:rsidRPr="0003632E" w:rsidRDefault="00B11703" w:rsidP="00171079">
            <w:pPr>
              <w:pStyle w:val="TableParagraph"/>
              <w:ind w:left="1134" w:right="474"/>
              <w:jc w:val="both"/>
              <w:rPr>
                <w:rFonts w:ascii="Arial Narrow" w:hAnsi="Arial Narrow"/>
                <w:i/>
                <w:iCs/>
                <w:sz w:val="20"/>
                <w:szCs w:val="20"/>
                <w:lang w:val="es-CO"/>
              </w:rPr>
            </w:pPr>
          </w:p>
          <w:p w14:paraId="0D8D0413" w14:textId="77777777" w:rsidR="00B11703" w:rsidRPr="0003632E" w:rsidRDefault="00B11703" w:rsidP="00171079">
            <w:pPr>
              <w:pStyle w:val="TableParagraph"/>
              <w:ind w:left="1134" w:right="474"/>
              <w:jc w:val="both"/>
              <w:rPr>
                <w:rFonts w:ascii="Arial Narrow" w:hAnsi="Arial Narrow"/>
                <w:i/>
                <w:iCs/>
                <w:sz w:val="20"/>
                <w:szCs w:val="20"/>
                <w:lang w:val="es-CO"/>
              </w:rPr>
            </w:pPr>
            <w:r w:rsidRPr="0003632E">
              <w:rPr>
                <w:rFonts w:ascii="Arial Narrow" w:hAnsi="Arial Narrow"/>
                <w:i/>
                <w:iCs/>
                <w:sz w:val="20"/>
                <w:szCs w:val="20"/>
                <w:lang w:val="es-CO"/>
              </w:rPr>
              <w:t>En los siguientes contratos, el término de dos (2) años se contará así:</w:t>
            </w:r>
          </w:p>
          <w:p w14:paraId="75E2126F" w14:textId="77777777" w:rsidR="00B11703" w:rsidRPr="0003632E" w:rsidRDefault="00B11703" w:rsidP="00171079">
            <w:pPr>
              <w:pStyle w:val="TableParagraph"/>
              <w:ind w:left="1134" w:right="474"/>
              <w:jc w:val="both"/>
              <w:rPr>
                <w:rFonts w:ascii="Arial Narrow" w:hAnsi="Arial Narrow"/>
                <w:i/>
                <w:iCs/>
                <w:sz w:val="20"/>
                <w:szCs w:val="20"/>
                <w:lang w:val="es-CO"/>
              </w:rPr>
            </w:pPr>
          </w:p>
          <w:p w14:paraId="7CEA1BBD" w14:textId="77777777" w:rsidR="00B11703" w:rsidRPr="0003632E" w:rsidRDefault="00B11703" w:rsidP="00171079">
            <w:pPr>
              <w:pStyle w:val="TableParagraph"/>
              <w:ind w:left="1134" w:right="474"/>
              <w:jc w:val="both"/>
              <w:rPr>
                <w:rFonts w:ascii="Arial Narrow" w:hAnsi="Arial Narrow"/>
                <w:i/>
                <w:iCs/>
                <w:sz w:val="20"/>
                <w:szCs w:val="20"/>
                <w:lang w:val="es-CO"/>
              </w:rPr>
            </w:pPr>
            <w:r w:rsidRPr="0003632E">
              <w:rPr>
                <w:rFonts w:ascii="Arial Narrow" w:hAnsi="Arial Narrow"/>
                <w:i/>
                <w:iCs/>
                <w:sz w:val="20"/>
                <w:szCs w:val="20"/>
                <w:lang w:val="es-CO"/>
              </w:rPr>
              <w:t>i) En los de ejecución instantánea desde el día siguiente a cuando se cumplió o debió cumplirse el objeto del contrato;</w:t>
            </w:r>
          </w:p>
          <w:p w14:paraId="3C3725C2" w14:textId="77777777" w:rsidR="00B11703" w:rsidRPr="0003632E" w:rsidRDefault="00B11703" w:rsidP="00171079">
            <w:pPr>
              <w:pStyle w:val="TableParagraph"/>
              <w:ind w:left="1134" w:right="474"/>
              <w:jc w:val="both"/>
              <w:rPr>
                <w:rFonts w:ascii="Arial Narrow" w:hAnsi="Arial Narrow"/>
                <w:i/>
                <w:iCs/>
                <w:sz w:val="20"/>
                <w:szCs w:val="20"/>
                <w:lang w:val="es-CO"/>
              </w:rPr>
            </w:pPr>
          </w:p>
          <w:p w14:paraId="2AB0664F" w14:textId="77777777" w:rsidR="00B11703" w:rsidRPr="0003632E" w:rsidRDefault="00B11703" w:rsidP="00171079">
            <w:pPr>
              <w:pStyle w:val="TableParagraph"/>
              <w:ind w:left="1134" w:right="474"/>
              <w:jc w:val="both"/>
              <w:rPr>
                <w:rFonts w:ascii="Arial Narrow" w:hAnsi="Arial Narrow"/>
                <w:i/>
                <w:iCs/>
                <w:sz w:val="20"/>
                <w:szCs w:val="20"/>
                <w:lang w:val="es-CO"/>
              </w:rPr>
            </w:pPr>
            <w:r w:rsidRPr="0003632E">
              <w:rPr>
                <w:rFonts w:ascii="Arial Narrow" w:hAnsi="Arial Narrow"/>
                <w:i/>
                <w:iCs/>
                <w:sz w:val="20"/>
                <w:szCs w:val="20"/>
                <w:lang w:val="es-CO"/>
              </w:rPr>
              <w:t>ii) En los que no requieran de liquidación, desde el día siguiente al de la terminación del contrato por cualquier causa;</w:t>
            </w:r>
          </w:p>
          <w:p w14:paraId="4C51AE94" w14:textId="77777777" w:rsidR="00B11703" w:rsidRPr="0003632E" w:rsidRDefault="00B11703" w:rsidP="00171079">
            <w:pPr>
              <w:pStyle w:val="TableParagraph"/>
              <w:ind w:left="1134" w:right="474"/>
              <w:jc w:val="both"/>
              <w:rPr>
                <w:rFonts w:ascii="Arial Narrow" w:hAnsi="Arial Narrow"/>
                <w:i/>
                <w:iCs/>
                <w:sz w:val="20"/>
                <w:szCs w:val="20"/>
                <w:lang w:val="es-CO"/>
              </w:rPr>
            </w:pPr>
          </w:p>
          <w:p w14:paraId="74A34159" w14:textId="77777777" w:rsidR="00B11703" w:rsidRDefault="00B11703" w:rsidP="00171079">
            <w:pPr>
              <w:pStyle w:val="TableParagraph"/>
              <w:ind w:left="1134" w:right="474"/>
              <w:jc w:val="both"/>
              <w:rPr>
                <w:rFonts w:ascii="Arial Narrow" w:hAnsi="Arial Narrow"/>
                <w:i/>
                <w:iCs/>
                <w:sz w:val="20"/>
                <w:szCs w:val="20"/>
                <w:u w:val="single"/>
                <w:lang w:val="es-CO"/>
              </w:rPr>
            </w:pPr>
            <w:r w:rsidRPr="00F61BAD">
              <w:rPr>
                <w:rFonts w:ascii="Arial Narrow" w:hAnsi="Arial Narrow"/>
                <w:i/>
                <w:iCs/>
                <w:sz w:val="20"/>
                <w:szCs w:val="20"/>
                <w:u w:val="single"/>
                <w:lang w:val="es-CO"/>
              </w:rPr>
              <w:t>iii) En los que requieran de liquidación y esta sea efectuada de común acuerdo por las partes, desde el día siguiente al de la firma del acta;</w:t>
            </w:r>
          </w:p>
          <w:p w14:paraId="360EEE84" w14:textId="77777777" w:rsidR="00B11703" w:rsidRPr="00F61BAD" w:rsidRDefault="00B11703" w:rsidP="00171079">
            <w:pPr>
              <w:pStyle w:val="TableParagraph"/>
              <w:ind w:left="1134" w:right="474"/>
              <w:jc w:val="both"/>
              <w:rPr>
                <w:rFonts w:ascii="Arial Narrow" w:hAnsi="Arial Narrow"/>
                <w:i/>
                <w:iCs/>
                <w:sz w:val="20"/>
                <w:szCs w:val="20"/>
                <w:u w:val="single"/>
                <w:lang w:val="es-CO"/>
              </w:rPr>
            </w:pPr>
          </w:p>
          <w:p w14:paraId="75E1091A" w14:textId="77777777" w:rsidR="00B11703" w:rsidRPr="00C577BA" w:rsidRDefault="00B11703" w:rsidP="00171079">
            <w:pPr>
              <w:pStyle w:val="TableParagraph"/>
              <w:ind w:left="1134" w:right="474"/>
              <w:jc w:val="both"/>
              <w:rPr>
                <w:rFonts w:ascii="Arial Narrow" w:hAnsi="Arial Narrow"/>
                <w:b/>
                <w:bCs/>
                <w:i/>
                <w:iCs/>
                <w:sz w:val="20"/>
                <w:szCs w:val="20"/>
                <w:u w:val="single"/>
                <w:lang w:val="es-CO"/>
              </w:rPr>
            </w:pPr>
            <w:r w:rsidRPr="00F61BAD">
              <w:rPr>
                <w:rFonts w:ascii="Arial Narrow" w:hAnsi="Arial Narrow"/>
                <w:b/>
                <w:bCs/>
                <w:i/>
                <w:iCs/>
                <w:sz w:val="20"/>
                <w:szCs w:val="20"/>
                <w:u w:val="single"/>
                <w:lang w:val="es-CO"/>
              </w:rPr>
              <w:t>iv) En los que requieran de liquidación y esta sea efectuada unilateralmente por la administración, desde el día siguiente al de la ejecutoria del acto administrativo que la apruebe;</w:t>
            </w:r>
            <w:r w:rsidRPr="00C577BA">
              <w:rPr>
                <w:rFonts w:ascii="Arial Narrow" w:hAnsi="Arial Narrow"/>
                <w:b/>
                <w:bCs/>
                <w:i/>
                <w:iCs/>
                <w:sz w:val="20"/>
                <w:szCs w:val="20"/>
                <w:u w:val="single"/>
                <w:lang w:val="es-CO"/>
              </w:rPr>
              <w:t>”</w:t>
            </w:r>
          </w:p>
          <w:p w14:paraId="552731C4" w14:textId="77777777" w:rsidR="00B11703" w:rsidRPr="00C577BA" w:rsidRDefault="00B11703" w:rsidP="00B11703">
            <w:pPr>
              <w:pStyle w:val="TableParagraph"/>
              <w:tabs>
                <w:tab w:val="left" w:pos="440"/>
              </w:tabs>
              <w:ind w:left="581" w:right="567" w:hanging="141"/>
              <w:jc w:val="both"/>
              <w:rPr>
                <w:rFonts w:ascii="Arial Narrow" w:hAnsi="Arial Narrow"/>
                <w:lang w:val="es-CO"/>
              </w:rPr>
            </w:pPr>
          </w:p>
          <w:p w14:paraId="5BAD07D7" w14:textId="43471144" w:rsidR="00B11703" w:rsidRPr="008B45B2" w:rsidRDefault="00B11703" w:rsidP="008B45B2">
            <w:pPr>
              <w:pStyle w:val="Prrafodelista"/>
              <w:tabs>
                <w:tab w:val="left" w:pos="584"/>
              </w:tabs>
              <w:ind w:left="440" w:right="545"/>
              <w:jc w:val="both"/>
              <w:rPr>
                <w:rFonts w:ascii="Arial Narrow" w:hAnsi="Arial Narrow"/>
                <w:lang w:val="es-CO"/>
              </w:rPr>
            </w:pPr>
            <w:r w:rsidRPr="00C577BA">
              <w:rPr>
                <w:rFonts w:ascii="Arial Narrow" w:hAnsi="Arial Narrow"/>
                <w:lang w:val="es-CO"/>
              </w:rPr>
              <w:t xml:space="preserve">Ahora bien, en el caso concreto se encuentra que </w:t>
            </w:r>
            <w:r w:rsidRPr="003C141A">
              <w:rPr>
                <w:rFonts w:ascii="Arial Narrow" w:eastAsia="Calibri" w:hAnsi="Arial Narrow"/>
                <w:bCs/>
                <w:color w:val="000000"/>
                <w:lang w:val="es-CO"/>
              </w:rPr>
              <w:t>la Resoluci</w:t>
            </w:r>
            <w:r>
              <w:rPr>
                <w:rFonts w:ascii="Arial Narrow" w:eastAsia="Calibri" w:hAnsi="Arial Narrow"/>
                <w:bCs/>
                <w:color w:val="000000"/>
                <w:lang w:val="es-CO"/>
              </w:rPr>
              <w:t>ó</w:t>
            </w:r>
            <w:r w:rsidRPr="003C141A">
              <w:rPr>
                <w:rFonts w:ascii="Arial Narrow" w:eastAsia="Calibri" w:hAnsi="Arial Narrow"/>
                <w:bCs/>
                <w:color w:val="000000"/>
                <w:lang w:val="es-CO"/>
              </w:rPr>
              <w:t xml:space="preserve">n </w:t>
            </w:r>
            <w:r>
              <w:rPr>
                <w:rFonts w:ascii="Arial Narrow" w:eastAsia="Calibri" w:hAnsi="Arial Narrow"/>
                <w:bCs/>
                <w:color w:val="000000"/>
                <w:lang w:val="es-CO"/>
              </w:rPr>
              <w:t>nro. 544</w:t>
            </w:r>
            <w:r w:rsidRPr="003C141A">
              <w:rPr>
                <w:rFonts w:ascii="Arial Narrow" w:eastAsia="Calibri" w:hAnsi="Arial Narrow"/>
                <w:bCs/>
                <w:color w:val="000000"/>
                <w:lang w:val="es-CO"/>
              </w:rPr>
              <w:t xml:space="preserve"> del 2021, modificada por la Resolución </w:t>
            </w:r>
            <w:r>
              <w:rPr>
                <w:rFonts w:ascii="Arial Narrow" w:eastAsia="Calibri" w:hAnsi="Arial Narrow"/>
                <w:bCs/>
                <w:color w:val="000000"/>
                <w:lang w:val="es-CO"/>
              </w:rPr>
              <w:t>nro.</w:t>
            </w:r>
            <w:r w:rsidRPr="003C141A">
              <w:rPr>
                <w:rFonts w:ascii="Arial Narrow" w:eastAsia="Calibri" w:hAnsi="Arial Narrow"/>
                <w:bCs/>
                <w:color w:val="000000"/>
                <w:lang w:val="es-CO"/>
              </w:rPr>
              <w:t xml:space="preserve"> 609 del 2021, quedó en firme el </w:t>
            </w:r>
            <w:r w:rsidRPr="002C1380">
              <w:rPr>
                <w:rFonts w:ascii="Arial Narrow" w:eastAsia="Calibri" w:hAnsi="Arial Narrow"/>
                <w:b/>
                <w:color w:val="000000"/>
                <w:u w:val="single"/>
                <w:lang w:val="es-CO"/>
              </w:rPr>
              <w:t>28 de mayo de 2021</w:t>
            </w:r>
            <w:r>
              <w:rPr>
                <w:rFonts w:ascii="Arial Narrow" w:hAnsi="Arial Narrow"/>
                <w:lang w:val="es-CO"/>
              </w:rPr>
              <w:t xml:space="preserve"> y la solicitud de conciliación fue radicada en la Procuraduría General de la Nación el </w:t>
            </w:r>
            <w:r w:rsidRPr="00B07C01">
              <w:rPr>
                <w:rFonts w:ascii="Arial Narrow" w:hAnsi="Arial Narrow"/>
                <w:b/>
                <w:bCs/>
                <w:u w:val="single"/>
                <w:lang w:val="es-CO"/>
              </w:rPr>
              <w:t>28 de julio de 2022</w:t>
            </w:r>
            <w:r>
              <w:rPr>
                <w:rFonts w:ascii="Arial Narrow" w:hAnsi="Arial Narrow"/>
                <w:lang w:val="es-CO"/>
              </w:rPr>
              <w:t>, por lo que transcurri</w:t>
            </w:r>
            <w:r w:rsidR="00171079">
              <w:rPr>
                <w:rFonts w:ascii="Arial Narrow" w:hAnsi="Arial Narrow"/>
                <w:lang w:val="es-CO"/>
              </w:rPr>
              <w:t>eron</w:t>
            </w:r>
            <w:r>
              <w:rPr>
                <w:rFonts w:ascii="Arial Narrow" w:hAnsi="Arial Narrow"/>
                <w:lang w:val="es-CO"/>
              </w:rPr>
              <w:t xml:space="preserve"> 13 meses y 29 días</w:t>
            </w:r>
            <w:r w:rsidR="006A6028">
              <w:rPr>
                <w:rFonts w:ascii="Arial Narrow" w:hAnsi="Arial Narrow"/>
                <w:lang w:val="es-CO"/>
              </w:rPr>
              <w:t xml:space="preserve"> para determinar el</w:t>
            </w:r>
            <w:r>
              <w:rPr>
                <w:rFonts w:ascii="Arial Narrow" w:hAnsi="Arial Narrow"/>
                <w:lang w:val="es-CO"/>
              </w:rPr>
              <w:t xml:space="preserve"> término de </w:t>
            </w:r>
            <w:r w:rsidR="006A6028">
              <w:rPr>
                <w:rFonts w:ascii="Arial Narrow" w:hAnsi="Arial Narrow"/>
                <w:lang w:val="es-CO"/>
              </w:rPr>
              <w:t xml:space="preserve">la </w:t>
            </w:r>
            <w:r>
              <w:rPr>
                <w:rFonts w:ascii="Arial Narrow" w:hAnsi="Arial Narrow"/>
                <w:lang w:val="es-CO"/>
              </w:rPr>
              <w:t>caducidad</w:t>
            </w:r>
            <w:r w:rsidR="006A6028">
              <w:rPr>
                <w:rFonts w:ascii="Arial Narrow" w:hAnsi="Arial Narrow"/>
                <w:lang w:val="es-CO"/>
              </w:rPr>
              <w:t xml:space="preserve"> de la acción</w:t>
            </w:r>
            <w:r w:rsidR="008B45B2">
              <w:rPr>
                <w:rFonts w:ascii="Arial Narrow" w:hAnsi="Arial Narrow"/>
                <w:lang w:val="es-CO"/>
              </w:rPr>
              <w:t xml:space="preserve">, en consecuencia, a partir de </w:t>
            </w:r>
            <w:r w:rsidRPr="008B45B2">
              <w:rPr>
                <w:rFonts w:ascii="Arial Narrow" w:hAnsi="Arial Narrow"/>
                <w:lang w:val="es-CO"/>
              </w:rPr>
              <w:t xml:space="preserve"> la radicación de la solicitud se suspendió el término de caducidad por 3 meses conforme a lo</w:t>
            </w:r>
            <w:r w:rsidR="008B45B2">
              <w:rPr>
                <w:rFonts w:ascii="Arial Narrow" w:hAnsi="Arial Narrow"/>
                <w:lang w:val="es-CO"/>
              </w:rPr>
              <w:t xml:space="preserve"> normado</w:t>
            </w:r>
            <w:r w:rsidRPr="008B45B2">
              <w:rPr>
                <w:rFonts w:ascii="Arial Narrow" w:hAnsi="Arial Narrow"/>
                <w:lang w:val="es-CO"/>
              </w:rPr>
              <w:t xml:space="preserve"> en el artículo 96 de la Ley 2220 de 2022, es decir, hasta </w:t>
            </w:r>
            <w:r w:rsidRPr="008B45B2">
              <w:rPr>
                <w:rFonts w:ascii="Arial Narrow" w:hAnsi="Arial Narrow"/>
                <w:b/>
                <w:bCs/>
                <w:u w:val="single"/>
                <w:lang w:val="es-CO"/>
              </w:rPr>
              <w:t xml:space="preserve">el 28 de octubre de 2022, </w:t>
            </w:r>
            <w:r w:rsidRPr="008B45B2">
              <w:rPr>
                <w:rFonts w:ascii="Arial Narrow" w:hAnsi="Arial Narrow"/>
                <w:lang w:val="es-CO"/>
              </w:rPr>
              <w:t>momento en el que se reanudó el cómputo del término</w:t>
            </w:r>
            <w:r w:rsidRPr="008B45B2">
              <w:rPr>
                <w:rFonts w:ascii="Arial Narrow" w:hAnsi="Arial Narrow"/>
                <w:b/>
                <w:bCs/>
                <w:lang w:val="es-CO"/>
              </w:rPr>
              <w:t>.</w:t>
            </w:r>
            <w:r w:rsidRPr="008B45B2">
              <w:rPr>
                <w:rFonts w:ascii="Arial Narrow" w:hAnsi="Arial Narrow"/>
                <w:lang w:val="es-CO"/>
              </w:rPr>
              <w:t xml:space="preserve"> </w:t>
            </w:r>
          </w:p>
          <w:p w14:paraId="1812A291" w14:textId="77777777" w:rsidR="00B11703" w:rsidRDefault="00B11703" w:rsidP="00B11703">
            <w:pPr>
              <w:pStyle w:val="Prrafodelista"/>
              <w:ind w:left="580" w:right="567"/>
              <w:jc w:val="both"/>
              <w:rPr>
                <w:rFonts w:ascii="Arial Narrow" w:hAnsi="Arial Narrow"/>
                <w:lang w:val="es-CO"/>
              </w:rPr>
            </w:pPr>
          </w:p>
          <w:p w14:paraId="357BA9EE" w14:textId="42E81D8F" w:rsidR="008B45B2" w:rsidRDefault="00B11703" w:rsidP="008B45B2">
            <w:pPr>
              <w:pStyle w:val="Prrafodelista"/>
              <w:tabs>
                <w:tab w:val="left" w:pos="584"/>
              </w:tabs>
              <w:ind w:left="440" w:right="545"/>
              <w:jc w:val="both"/>
              <w:rPr>
                <w:rFonts w:ascii="Arial Narrow" w:hAnsi="Arial Narrow"/>
                <w:lang w:val="es-CO"/>
              </w:rPr>
            </w:pPr>
            <w:r>
              <w:rPr>
                <w:rFonts w:ascii="Arial Narrow" w:hAnsi="Arial Narrow"/>
                <w:lang w:val="es-CO"/>
              </w:rPr>
              <w:t xml:space="preserve">Al respecto, es importante señalar </w:t>
            </w:r>
            <w:r w:rsidR="008B45B2">
              <w:rPr>
                <w:rFonts w:ascii="Arial Narrow" w:hAnsi="Arial Narrow"/>
                <w:lang w:val="es-CO"/>
              </w:rPr>
              <w:t xml:space="preserve">que, en el procedimiento </w:t>
            </w:r>
            <w:r>
              <w:rPr>
                <w:rFonts w:ascii="Arial Narrow" w:hAnsi="Arial Narrow"/>
                <w:lang w:val="es-CO"/>
              </w:rPr>
              <w:t>contencioso administrativo, la suspensión del término de caducidad no opera en los casos en los que las partes prorrogan de mutuo acuerdo el término de 3 meses establecido para el trámite conciliatorio extrajudicial.</w:t>
            </w:r>
          </w:p>
          <w:p w14:paraId="0BF9F104" w14:textId="77777777" w:rsidR="008B45B2" w:rsidRDefault="008B45B2" w:rsidP="008B45B2">
            <w:pPr>
              <w:pStyle w:val="Prrafodelista"/>
              <w:tabs>
                <w:tab w:val="left" w:pos="584"/>
              </w:tabs>
              <w:ind w:left="440" w:right="545"/>
              <w:jc w:val="both"/>
              <w:rPr>
                <w:rFonts w:ascii="Arial Narrow" w:hAnsi="Arial Narrow"/>
                <w:lang w:val="es-CO"/>
              </w:rPr>
            </w:pPr>
          </w:p>
          <w:p w14:paraId="61446043" w14:textId="68184517" w:rsidR="003B7EDD" w:rsidRDefault="00B11703" w:rsidP="008B45B2">
            <w:pPr>
              <w:pStyle w:val="Prrafodelista"/>
              <w:tabs>
                <w:tab w:val="left" w:pos="584"/>
              </w:tabs>
              <w:ind w:left="440" w:right="545"/>
              <w:jc w:val="both"/>
              <w:rPr>
                <w:rFonts w:ascii="Arial Narrow" w:hAnsi="Arial Narrow"/>
                <w:lang w:val="es-CO"/>
              </w:rPr>
            </w:pPr>
            <w:r>
              <w:rPr>
                <w:rFonts w:ascii="Arial Narrow" w:hAnsi="Arial Narrow"/>
                <w:lang w:val="es-CO"/>
              </w:rPr>
              <w:t xml:space="preserve">Ahora bien, en el presente asunto se suscribió acta de conciliación el </w:t>
            </w:r>
            <w:r w:rsidRPr="00F71D4A">
              <w:rPr>
                <w:rFonts w:ascii="Arial Narrow" w:hAnsi="Arial Narrow"/>
                <w:b/>
                <w:bCs/>
                <w:lang w:val="es-CO"/>
              </w:rPr>
              <w:t>01 de jun</w:t>
            </w:r>
            <w:r>
              <w:rPr>
                <w:rFonts w:ascii="Arial Narrow" w:hAnsi="Arial Narrow"/>
                <w:b/>
                <w:bCs/>
                <w:lang w:val="es-CO"/>
              </w:rPr>
              <w:t>i</w:t>
            </w:r>
            <w:r w:rsidRPr="00F71D4A">
              <w:rPr>
                <w:rFonts w:ascii="Arial Narrow" w:hAnsi="Arial Narrow"/>
                <w:b/>
                <w:bCs/>
                <w:lang w:val="es-CO"/>
              </w:rPr>
              <w:t>o de 2023</w:t>
            </w:r>
            <w:r>
              <w:rPr>
                <w:rFonts w:ascii="Arial Narrow" w:hAnsi="Arial Narrow"/>
                <w:b/>
                <w:bCs/>
                <w:lang w:val="es-CO"/>
              </w:rPr>
              <w:t xml:space="preserve"> </w:t>
            </w:r>
            <w:r>
              <w:rPr>
                <w:rFonts w:ascii="Arial Narrow" w:hAnsi="Arial Narrow"/>
                <w:lang w:val="es-CO"/>
              </w:rPr>
              <w:t>en la Procuraduría 55 Judicial II para Asuntos Administrativos, por lo que desde la fecha en que se reanudó el conteo del término hasta el día en que se suscribió la mencionada acta,</w:t>
            </w:r>
            <w:r w:rsidR="00260E4D">
              <w:rPr>
                <w:rFonts w:ascii="Arial Narrow" w:hAnsi="Arial Narrow"/>
                <w:lang w:val="es-CO"/>
              </w:rPr>
              <w:t xml:space="preserve"> por lo tanto,</w:t>
            </w:r>
            <w:r>
              <w:rPr>
                <w:rFonts w:ascii="Arial Narrow" w:hAnsi="Arial Narrow"/>
                <w:lang w:val="es-CO"/>
              </w:rPr>
              <w:t xml:space="preserve"> han transcurrido 21 meses y 3 días</w:t>
            </w:r>
            <w:r w:rsidR="00260E4D">
              <w:rPr>
                <w:rFonts w:ascii="Arial Narrow" w:hAnsi="Arial Narrow"/>
                <w:lang w:val="es-CO"/>
              </w:rPr>
              <w:t>, de manera que</w:t>
            </w:r>
            <w:r>
              <w:rPr>
                <w:rFonts w:ascii="Arial Narrow" w:hAnsi="Arial Narrow"/>
                <w:lang w:val="es-CO"/>
              </w:rPr>
              <w:t xml:space="preserve"> </w:t>
            </w:r>
            <w:r w:rsidRPr="00C577BA">
              <w:rPr>
                <w:rFonts w:ascii="Arial Narrow" w:hAnsi="Arial Narrow"/>
                <w:lang w:val="es-CO"/>
              </w:rPr>
              <w:t xml:space="preserve">en el presente asunto no operó el fenómeno jurídico de la caducidad, puesto que no se han </w:t>
            </w:r>
            <w:r>
              <w:rPr>
                <w:rFonts w:ascii="Arial Narrow" w:hAnsi="Arial Narrow"/>
                <w:lang w:val="es-CO"/>
              </w:rPr>
              <w:t xml:space="preserve">superado </w:t>
            </w:r>
            <w:r w:rsidRPr="00C577BA">
              <w:rPr>
                <w:rFonts w:ascii="Arial Narrow" w:hAnsi="Arial Narrow"/>
                <w:lang w:val="es-CO"/>
              </w:rPr>
              <w:t xml:space="preserve">los </w:t>
            </w:r>
            <w:r>
              <w:rPr>
                <w:rFonts w:ascii="Arial Narrow" w:hAnsi="Arial Narrow"/>
                <w:lang w:val="es-CO"/>
              </w:rPr>
              <w:t>dos años</w:t>
            </w:r>
            <w:r w:rsidRPr="00C577BA">
              <w:rPr>
                <w:rFonts w:ascii="Arial Narrow" w:hAnsi="Arial Narrow"/>
                <w:lang w:val="es-CO"/>
              </w:rPr>
              <w:t xml:space="preserve"> que dispone la norma para la presentación del medio de control</w:t>
            </w:r>
            <w:r>
              <w:rPr>
                <w:rFonts w:ascii="Arial Narrow" w:hAnsi="Arial Narrow"/>
                <w:lang w:val="es-CO"/>
              </w:rPr>
              <w:t>.</w:t>
            </w:r>
          </w:p>
          <w:p w14:paraId="7563D515" w14:textId="77777777" w:rsidR="00EF5A53" w:rsidRDefault="00EF5A53" w:rsidP="008B45B2">
            <w:pPr>
              <w:pStyle w:val="Prrafodelista"/>
              <w:tabs>
                <w:tab w:val="left" w:pos="584"/>
              </w:tabs>
              <w:ind w:left="440" w:right="545"/>
              <w:jc w:val="both"/>
              <w:rPr>
                <w:rFonts w:ascii="Arial Narrow" w:hAnsi="Arial Narrow"/>
                <w:lang w:val="es-CO"/>
              </w:rPr>
            </w:pPr>
          </w:p>
          <w:p w14:paraId="680681AB" w14:textId="77777777" w:rsidR="00EF5A53" w:rsidRPr="007F2B6C" w:rsidRDefault="00EF5A53" w:rsidP="00EF5A53">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Principales movimientos</w:t>
            </w:r>
            <w:r>
              <w:rPr>
                <w:rFonts w:ascii="Arial Narrow" w:hAnsi="Arial Narrow"/>
                <w:b/>
                <w:color w:val="000000" w:themeColor="text1"/>
                <w:lang w:val="es-CO"/>
              </w:rPr>
              <w:t xml:space="preserve"> procesales</w:t>
            </w:r>
          </w:p>
          <w:p w14:paraId="5CA97215" w14:textId="77777777" w:rsidR="00EF5A53" w:rsidRPr="007F2B6C" w:rsidRDefault="00EF5A53" w:rsidP="00EF5A53">
            <w:pPr>
              <w:pStyle w:val="TableParagraph"/>
              <w:tabs>
                <w:tab w:val="left" w:pos="584"/>
              </w:tabs>
              <w:ind w:left="567" w:right="567"/>
              <w:jc w:val="both"/>
              <w:rPr>
                <w:rFonts w:ascii="Arial Narrow" w:hAnsi="Arial Narrow"/>
                <w:b/>
                <w:color w:val="000000" w:themeColor="text1"/>
                <w:lang w:val="es-CO"/>
              </w:rPr>
            </w:pPr>
          </w:p>
          <w:p w14:paraId="6B8A7E39" w14:textId="2729B344" w:rsidR="00EF5A53" w:rsidRDefault="001D17C1" w:rsidP="00EF5A53">
            <w:pPr>
              <w:pStyle w:val="Prrafodelista"/>
              <w:numPr>
                <w:ilvl w:val="0"/>
                <w:numId w:val="5"/>
              </w:numPr>
              <w:ind w:left="759" w:right="567" w:hanging="283"/>
              <w:jc w:val="both"/>
              <w:rPr>
                <w:rFonts w:ascii="Arial Narrow" w:hAnsi="Arial Narrow"/>
                <w:color w:val="000000" w:themeColor="text1"/>
              </w:rPr>
            </w:pPr>
            <w:r>
              <w:rPr>
                <w:rFonts w:ascii="Arial Narrow" w:hAnsi="Arial Narrow"/>
                <w:b/>
                <w:color w:val="000000" w:themeColor="text1"/>
              </w:rPr>
              <w:t>Radicación de la</w:t>
            </w:r>
            <w:r w:rsidR="00EF5A53" w:rsidRPr="007F2B6C">
              <w:rPr>
                <w:rFonts w:ascii="Arial Narrow" w:hAnsi="Arial Narrow"/>
                <w:b/>
                <w:color w:val="000000" w:themeColor="text1"/>
              </w:rPr>
              <w:t xml:space="preserve"> demanda</w:t>
            </w:r>
            <w:r w:rsidR="00EF5A53" w:rsidRPr="007F2B6C">
              <w:rPr>
                <w:rFonts w:ascii="Arial Narrow" w:hAnsi="Arial Narrow"/>
                <w:color w:val="000000" w:themeColor="text1"/>
              </w:rPr>
              <w:t xml:space="preserve">:  </w:t>
            </w:r>
            <w:r>
              <w:rPr>
                <w:rFonts w:ascii="Arial Narrow" w:hAnsi="Arial Narrow"/>
                <w:color w:val="000000" w:themeColor="text1"/>
              </w:rPr>
              <w:t>11</w:t>
            </w:r>
            <w:r w:rsidR="00EF5A53">
              <w:rPr>
                <w:rFonts w:ascii="Arial Narrow" w:hAnsi="Arial Narrow"/>
                <w:color w:val="000000" w:themeColor="text1"/>
              </w:rPr>
              <w:t xml:space="preserve"> de </w:t>
            </w:r>
            <w:r>
              <w:rPr>
                <w:rFonts w:ascii="Arial Narrow" w:hAnsi="Arial Narrow"/>
                <w:color w:val="000000" w:themeColor="text1"/>
              </w:rPr>
              <w:t>agosto de 2023</w:t>
            </w:r>
            <w:r w:rsidR="005E77C1">
              <w:rPr>
                <w:rFonts w:ascii="Arial Narrow" w:hAnsi="Arial Narrow"/>
                <w:color w:val="000000" w:themeColor="text1"/>
              </w:rPr>
              <w:t>.</w:t>
            </w:r>
          </w:p>
          <w:p w14:paraId="1BC54D27" w14:textId="77777777" w:rsidR="00703AAD" w:rsidRDefault="00703AAD" w:rsidP="00703AAD">
            <w:pPr>
              <w:pStyle w:val="Prrafodelista"/>
              <w:ind w:left="759" w:right="567"/>
              <w:jc w:val="both"/>
              <w:rPr>
                <w:rFonts w:ascii="Arial Narrow" w:hAnsi="Arial Narrow"/>
                <w:color w:val="000000" w:themeColor="text1"/>
              </w:rPr>
            </w:pPr>
          </w:p>
          <w:p w14:paraId="3B192E71" w14:textId="05CEEFAE" w:rsidR="00EF5A53" w:rsidRDefault="00EF5A53" w:rsidP="00EF5A53">
            <w:pPr>
              <w:pStyle w:val="Prrafodelista"/>
              <w:numPr>
                <w:ilvl w:val="0"/>
                <w:numId w:val="5"/>
              </w:numPr>
              <w:ind w:left="759" w:right="567" w:hanging="283"/>
              <w:jc w:val="both"/>
              <w:rPr>
                <w:rFonts w:ascii="Arial Narrow" w:hAnsi="Arial Narrow"/>
                <w:color w:val="000000" w:themeColor="text1"/>
              </w:rPr>
            </w:pPr>
            <w:r>
              <w:rPr>
                <w:rFonts w:ascii="Arial Narrow" w:hAnsi="Arial Narrow"/>
                <w:b/>
                <w:color w:val="000000" w:themeColor="text1"/>
              </w:rPr>
              <w:t>Auto inadmite demanda</w:t>
            </w:r>
            <w:r w:rsidRPr="00DC2128">
              <w:rPr>
                <w:rFonts w:ascii="Arial Narrow" w:hAnsi="Arial Narrow"/>
                <w:color w:val="000000" w:themeColor="text1"/>
              </w:rPr>
              <w:t>:</w:t>
            </w:r>
            <w:r>
              <w:rPr>
                <w:rFonts w:ascii="Arial Narrow" w:hAnsi="Arial Narrow"/>
                <w:color w:val="000000" w:themeColor="text1"/>
              </w:rPr>
              <w:t xml:space="preserve"> </w:t>
            </w:r>
            <w:r w:rsidR="002F0B98">
              <w:rPr>
                <w:rFonts w:ascii="Arial Narrow" w:hAnsi="Arial Narrow"/>
                <w:color w:val="000000" w:themeColor="text1"/>
              </w:rPr>
              <w:t xml:space="preserve">18 </w:t>
            </w:r>
            <w:r>
              <w:rPr>
                <w:rFonts w:ascii="Arial Narrow" w:hAnsi="Arial Narrow"/>
                <w:color w:val="000000" w:themeColor="text1"/>
              </w:rPr>
              <w:t xml:space="preserve">de </w:t>
            </w:r>
            <w:r w:rsidR="002F0B98">
              <w:rPr>
                <w:rFonts w:ascii="Arial Narrow" w:hAnsi="Arial Narrow"/>
                <w:color w:val="000000" w:themeColor="text1"/>
              </w:rPr>
              <w:t xml:space="preserve">diciembre </w:t>
            </w:r>
            <w:r>
              <w:rPr>
                <w:rFonts w:ascii="Arial Narrow" w:hAnsi="Arial Narrow"/>
                <w:color w:val="000000" w:themeColor="text1"/>
              </w:rPr>
              <w:t>de 2023</w:t>
            </w:r>
            <w:r w:rsidR="005E77C1">
              <w:rPr>
                <w:rFonts w:ascii="Arial Narrow" w:hAnsi="Arial Narrow"/>
                <w:color w:val="000000" w:themeColor="text1"/>
              </w:rPr>
              <w:t>.</w:t>
            </w:r>
          </w:p>
          <w:p w14:paraId="1E42A1A7" w14:textId="77777777" w:rsidR="00703AAD" w:rsidRPr="00703AAD" w:rsidRDefault="00703AAD" w:rsidP="00703AAD">
            <w:pPr>
              <w:pStyle w:val="Prrafodelista"/>
              <w:rPr>
                <w:rFonts w:ascii="Arial Narrow" w:hAnsi="Arial Narrow"/>
                <w:color w:val="000000" w:themeColor="text1"/>
              </w:rPr>
            </w:pPr>
          </w:p>
          <w:p w14:paraId="1DB0AF52" w14:textId="77777777" w:rsidR="00703AAD" w:rsidRDefault="00703AAD" w:rsidP="00703AAD">
            <w:pPr>
              <w:pStyle w:val="Prrafodelista"/>
              <w:ind w:left="759" w:right="567"/>
              <w:jc w:val="both"/>
              <w:rPr>
                <w:rFonts w:ascii="Arial Narrow" w:hAnsi="Arial Narrow"/>
                <w:color w:val="000000" w:themeColor="text1"/>
              </w:rPr>
            </w:pPr>
          </w:p>
          <w:p w14:paraId="501787E1" w14:textId="04D2DBB5" w:rsidR="00EF5A53" w:rsidRDefault="00EF5A53" w:rsidP="00EF5A53">
            <w:pPr>
              <w:pStyle w:val="Prrafodelista"/>
              <w:numPr>
                <w:ilvl w:val="0"/>
                <w:numId w:val="5"/>
              </w:numPr>
              <w:ind w:left="759" w:right="567" w:hanging="283"/>
              <w:jc w:val="both"/>
              <w:rPr>
                <w:rFonts w:ascii="Arial Narrow" w:hAnsi="Arial Narrow"/>
                <w:color w:val="000000" w:themeColor="text1"/>
              </w:rPr>
            </w:pPr>
            <w:r>
              <w:rPr>
                <w:rFonts w:ascii="Arial Narrow" w:hAnsi="Arial Narrow"/>
                <w:b/>
                <w:color w:val="000000" w:themeColor="text1"/>
              </w:rPr>
              <w:t>Subsanación de demanda</w:t>
            </w:r>
            <w:r w:rsidRPr="00FD6B5F">
              <w:rPr>
                <w:rFonts w:ascii="Arial Narrow" w:hAnsi="Arial Narrow"/>
                <w:color w:val="000000" w:themeColor="text1"/>
              </w:rPr>
              <w:t>:</w:t>
            </w:r>
            <w:r>
              <w:rPr>
                <w:rFonts w:ascii="Arial Narrow" w:hAnsi="Arial Narrow"/>
                <w:color w:val="000000" w:themeColor="text1"/>
              </w:rPr>
              <w:t xml:space="preserve"> </w:t>
            </w:r>
            <w:r w:rsidR="005E77C1">
              <w:rPr>
                <w:rFonts w:ascii="Arial Narrow" w:hAnsi="Arial Narrow"/>
                <w:color w:val="000000" w:themeColor="text1"/>
              </w:rPr>
              <w:t>19</w:t>
            </w:r>
            <w:r>
              <w:rPr>
                <w:rFonts w:ascii="Arial Narrow" w:hAnsi="Arial Narrow"/>
                <w:color w:val="000000" w:themeColor="text1"/>
              </w:rPr>
              <w:t xml:space="preserve"> de </w:t>
            </w:r>
            <w:r w:rsidR="005E77C1">
              <w:rPr>
                <w:rFonts w:ascii="Arial Narrow" w:hAnsi="Arial Narrow"/>
                <w:color w:val="000000" w:themeColor="text1"/>
              </w:rPr>
              <w:t>diciembre</w:t>
            </w:r>
            <w:r>
              <w:rPr>
                <w:rFonts w:ascii="Arial Narrow" w:hAnsi="Arial Narrow"/>
                <w:color w:val="000000" w:themeColor="text1"/>
              </w:rPr>
              <w:t xml:space="preserve"> de 2023.</w:t>
            </w:r>
          </w:p>
          <w:p w14:paraId="5FDB6331" w14:textId="77777777" w:rsidR="00703AAD" w:rsidRPr="007F2B6C" w:rsidRDefault="00703AAD" w:rsidP="00703AAD">
            <w:pPr>
              <w:pStyle w:val="Prrafodelista"/>
              <w:ind w:left="759" w:right="567"/>
              <w:jc w:val="both"/>
              <w:rPr>
                <w:rFonts w:ascii="Arial Narrow" w:hAnsi="Arial Narrow"/>
                <w:color w:val="000000" w:themeColor="text1"/>
              </w:rPr>
            </w:pPr>
          </w:p>
          <w:p w14:paraId="31C4B2FB" w14:textId="16F92C9F" w:rsidR="00EF5A53" w:rsidRPr="00703AAD" w:rsidRDefault="00EF5A53" w:rsidP="00EF5A53">
            <w:pPr>
              <w:pStyle w:val="Prrafodelista"/>
              <w:numPr>
                <w:ilvl w:val="0"/>
                <w:numId w:val="5"/>
              </w:numPr>
              <w:ind w:left="759" w:right="567" w:hanging="283"/>
              <w:jc w:val="both"/>
              <w:rPr>
                <w:rFonts w:ascii="Arial Narrow" w:hAnsi="Arial Narrow"/>
                <w:color w:val="FF0000"/>
              </w:rPr>
            </w:pPr>
            <w:r>
              <w:rPr>
                <w:rFonts w:ascii="Arial Narrow" w:hAnsi="Arial Narrow"/>
                <w:b/>
                <w:color w:val="000000" w:themeColor="text1"/>
              </w:rPr>
              <w:t>Auto admite demanda</w:t>
            </w:r>
            <w:r w:rsidRPr="00F240F5">
              <w:rPr>
                <w:rFonts w:ascii="Arial Narrow" w:hAnsi="Arial Narrow"/>
                <w:b/>
              </w:rPr>
              <w:t>:</w:t>
            </w:r>
            <w:r w:rsidRPr="00F240F5">
              <w:rPr>
                <w:rFonts w:ascii="Arial Narrow" w:hAnsi="Arial Narrow"/>
              </w:rPr>
              <w:t xml:space="preserve"> </w:t>
            </w:r>
            <w:r w:rsidR="00650A76">
              <w:rPr>
                <w:rFonts w:ascii="Arial Narrow" w:hAnsi="Arial Narrow"/>
              </w:rPr>
              <w:t>0</w:t>
            </w:r>
            <w:r>
              <w:rPr>
                <w:rFonts w:ascii="Arial Narrow" w:hAnsi="Arial Narrow"/>
              </w:rPr>
              <w:t xml:space="preserve">1 de </w:t>
            </w:r>
            <w:r w:rsidR="005E77C1">
              <w:rPr>
                <w:rFonts w:ascii="Arial Narrow" w:hAnsi="Arial Narrow"/>
              </w:rPr>
              <w:t xml:space="preserve">febrero </w:t>
            </w:r>
            <w:r>
              <w:rPr>
                <w:rFonts w:ascii="Arial Narrow" w:hAnsi="Arial Narrow"/>
              </w:rPr>
              <w:t>de 202</w:t>
            </w:r>
            <w:r w:rsidR="005E77C1">
              <w:rPr>
                <w:rFonts w:ascii="Arial Narrow" w:hAnsi="Arial Narrow"/>
              </w:rPr>
              <w:t>4.</w:t>
            </w:r>
          </w:p>
          <w:p w14:paraId="0AD95914" w14:textId="77777777" w:rsidR="00703AAD" w:rsidRPr="00703AAD" w:rsidRDefault="00703AAD" w:rsidP="00703AAD">
            <w:pPr>
              <w:ind w:right="567"/>
              <w:jc w:val="both"/>
              <w:rPr>
                <w:rFonts w:ascii="Arial Narrow" w:hAnsi="Arial Narrow"/>
                <w:color w:val="FF0000"/>
              </w:rPr>
            </w:pPr>
          </w:p>
          <w:p w14:paraId="1C34F7B1" w14:textId="7A3E56F7" w:rsidR="00D5506F" w:rsidRPr="00703AAD" w:rsidRDefault="00D5506F" w:rsidP="00EF5A53">
            <w:pPr>
              <w:pStyle w:val="Prrafodelista"/>
              <w:numPr>
                <w:ilvl w:val="0"/>
                <w:numId w:val="5"/>
              </w:numPr>
              <w:ind w:left="759" w:right="567" w:hanging="283"/>
              <w:jc w:val="both"/>
              <w:rPr>
                <w:rFonts w:ascii="Arial Narrow" w:hAnsi="Arial Narrow"/>
                <w:color w:val="FF0000"/>
              </w:rPr>
            </w:pPr>
            <w:r>
              <w:rPr>
                <w:rFonts w:ascii="Arial Narrow" w:hAnsi="Arial Narrow"/>
                <w:b/>
                <w:color w:val="000000" w:themeColor="text1"/>
              </w:rPr>
              <w:t>Notificación del Auto Admisorio de la demanda:</w:t>
            </w:r>
            <w:r w:rsidR="005D221C">
              <w:rPr>
                <w:rFonts w:ascii="Arial Narrow" w:hAnsi="Arial Narrow"/>
                <w:color w:val="FF0000"/>
              </w:rPr>
              <w:t xml:space="preserve"> </w:t>
            </w:r>
            <w:r w:rsidR="005D221C" w:rsidRPr="00D67D67">
              <w:rPr>
                <w:rFonts w:ascii="Arial Narrow" w:hAnsi="Arial Narrow"/>
              </w:rPr>
              <w:t>12 de febrero de 2024</w:t>
            </w:r>
          </w:p>
          <w:p w14:paraId="1D578CE5" w14:textId="77777777" w:rsidR="00703AAD" w:rsidRPr="00703AAD" w:rsidRDefault="00703AAD" w:rsidP="00703AAD">
            <w:pPr>
              <w:ind w:right="567"/>
              <w:jc w:val="both"/>
              <w:rPr>
                <w:rFonts w:ascii="Arial Narrow" w:hAnsi="Arial Narrow"/>
                <w:color w:val="FF0000"/>
              </w:rPr>
            </w:pPr>
          </w:p>
          <w:p w14:paraId="621324C4" w14:textId="70319B83" w:rsidR="00EF5A53" w:rsidRDefault="00EF5A53" w:rsidP="00EF5A53">
            <w:pPr>
              <w:pStyle w:val="Prrafodelista"/>
              <w:numPr>
                <w:ilvl w:val="0"/>
                <w:numId w:val="5"/>
              </w:numPr>
              <w:ind w:left="759" w:right="567" w:hanging="283"/>
              <w:jc w:val="both"/>
              <w:rPr>
                <w:rFonts w:ascii="Arial Narrow" w:hAnsi="Arial Narrow"/>
              </w:rPr>
            </w:pPr>
            <w:r w:rsidRPr="00650A76">
              <w:rPr>
                <w:rFonts w:ascii="Arial Narrow" w:hAnsi="Arial Narrow"/>
                <w:b/>
              </w:rPr>
              <w:t>Contestación de demanda:</w:t>
            </w:r>
            <w:r w:rsidRPr="00650A76">
              <w:rPr>
                <w:rFonts w:ascii="Arial Narrow" w:hAnsi="Arial Narrow"/>
              </w:rPr>
              <w:t xml:space="preserve"> </w:t>
            </w:r>
            <w:r w:rsidR="00650A76" w:rsidRPr="00650A76">
              <w:rPr>
                <w:rFonts w:ascii="Arial Narrow" w:hAnsi="Arial Narrow"/>
              </w:rPr>
              <w:t>0</w:t>
            </w:r>
            <w:r w:rsidR="00D67D67" w:rsidRPr="00650A76">
              <w:rPr>
                <w:rFonts w:ascii="Arial Narrow" w:hAnsi="Arial Narrow"/>
              </w:rPr>
              <w:t>3 de abril de 2024</w:t>
            </w:r>
          </w:p>
          <w:p w14:paraId="0D5B9492" w14:textId="77777777" w:rsidR="00703AAD" w:rsidRPr="00703AAD" w:rsidRDefault="00703AAD" w:rsidP="00703AAD">
            <w:pPr>
              <w:ind w:right="567"/>
              <w:jc w:val="both"/>
              <w:rPr>
                <w:rFonts w:ascii="Arial Narrow" w:hAnsi="Arial Narrow"/>
              </w:rPr>
            </w:pPr>
          </w:p>
          <w:p w14:paraId="599CA305" w14:textId="3A27E2EE" w:rsidR="00C623CB" w:rsidRDefault="00C623CB" w:rsidP="00EF5A53">
            <w:pPr>
              <w:pStyle w:val="Prrafodelista"/>
              <w:numPr>
                <w:ilvl w:val="0"/>
                <w:numId w:val="5"/>
              </w:numPr>
              <w:ind w:left="759" w:right="567" w:hanging="283"/>
              <w:jc w:val="both"/>
              <w:rPr>
                <w:rFonts w:ascii="Arial Narrow" w:hAnsi="Arial Narrow"/>
              </w:rPr>
            </w:pPr>
            <w:r w:rsidRPr="00650A76">
              <w:rPr>
                <w:rFonts w:ascii="Arial Narrow" w:hAnsi="Arial Narrow"/>
                <w:b/>
              </w:rPr>
              <w:t>Auto da por contestada la demanda y resuelve excepciones previas:</w:t>
            </w:r>
            <w:r w:rsidRPr="00650A76">
              <w:rPr>
                <w:rFonts w:ascii="Arial Narrow" w:hAnsi="Arial Narrow"/>
              </w:rPr>
              <w:t xml:space="preserve"> </w:t>
            </w:r>
            <w:r w:rsidR="00650A76" w:rsidRPr="00650A76">
              <w:rPr>
                <w:rFonts w:ascii="Arial Narrow" w:hAnsi="Arial Narrow"/>
              </w:rPr>
              <w:t>02 de agosto de 2024</w:t>
            </w:r>
          </w:p>
          <w:p w14:paraId="4EB0F229" w14:textId="77777777" w:rsidR="00703AAD" w:rsidRPr="00703AAD" w:rsidRDefault="00703AAD" w:rsidP="00703AAD">
            <w:pPr>
              <w:ind w:right="567"/>
              <w:jc w:val="both"/>
              <w:rPr>
                <w:rFonts w:ascii="Arial Narrow" w:hAnsi="Arial Narrow"/>
              </w:rPr>
            </w:pPr>
          </w:p>
          <w:p w14:paraId="7DC1FD23" w14:textId="653D647A" w:rsidR="007F0576" w:rsidRDefault="007F0576" w:rsidP="009C44ED">
            <w:pPr>
              <w:pStyle w:val="Prrafodelista"/>
              <w:numPr>
                <w:ilvl w:val="0"/>
                <w:numId w:val="5"/>
              </w:numPr>
              <w:ind w:left="759" w:right="567" w:hanging="283"/>
              <w:jc w:val="both"/>
              <w:rPr>
                <w:rFonts w:ascii="Arial Narrow" w:hAnsi="Arial Narrow"/>
              </w:rPr>
            </w:pPr>
            <w:r w:rsidRPr="00650A76">
              <w:rPr>
                <w:rFonts w:ascii="Arial Narrow" w:hAnsi="Arial Narrow"/>
                <w:b/>
              </w:rPr>
              <w:t>Solicitud de medida cautelar por parte del demandante:</w:t>
            </w:r>
            <w:r w:rsidRPr="00650A76">
              <w:rPr>
                <w:rFonts w:ascii="Arial Narrow" w:hAnsi="Arial Narrow"/>
              </w:rPr>
              <w:t xml:space="preserve"> 04 de octubre de 2024</w:t>
            </w:r>
          </w:p>
          <w:p w14:paraId="1A6D2582" w14:textId="77777777" w:rsidR="00703AAD" w:rsidRPr="00703AAD" w:rsidRDefault="00703AAD" w:rsidP="00703AAD">
            <w:pPr>
              <w:ind w:right="567"/>
              <w:jc w:val="both"/>
              <w:rPr>
                <w:rFonts w:ascii="Arial Narrow" w:hAnsi="Arial Narrow"/>
              </w:rPr>
            </w:pPr>
          </w:p>
          <w:p w14:paraId="284BA2BE" w14:textId="31568FB0" w:rsidR="00955FE3" w:rsidRDefault="00871B7E" w:rsidP="00EF5A53">
            <w:pPr>
              <w:pStyle w:val="Prrafodelista"/>
              <w:numPr>
                <w:ilvl w:val="0"/>
                <w:numId w:val="5"/>
              </w:numPr>
              <w:ind w:left="759" w:right="567" w:hanging="283"/>
              <w:jc w:val="both"/>
              <w:rPr>
                <w:rFonts w:ascii="Arial Narrow" w:hAnsi="Arial Narrow"/>
              </w:rPr>
            </w:pPr>
            <w:r w:rsidRPr="00650A76">
              <w:rPr>
                <w:rFonts w:ascii="Arial Narrow" w:hAnsi="Arial Narrow"/>
                <w:b/>
              </w:rPr>
              <w:t>Memorial con oposición a</w:t>
            </w:r>
            <w:r w:rsidR="00C00B56" w:rsidRPr="00650A76">
              <w:rPr>
                <w:rFonts w:ascii="Arial Narrow" w:hAnsi="Arial Narrow"/>
                <w:b/>
              </w:rPr>
              <w:t xml:space="preserve"> la</w:t>
            </w:r>
            <w:r w:rsidRPr="00650A76">
              <w:rPr>
                <w:rFonts w:ascii="Arial Narrow" w:hAnsi="Arial Narrow"/>
                <w:b/>
              </w:rPr>
              <w:t xml:space="preserve"> medida cautelar:</w:t>
            </w:r>
            <w:r w:rsidRPr="00650A76">
              <w:rPr>
                <w:rFonts w:ascii="Arial Narrow" w:hAnsi="Arial Narrow"/>
              </w:rPr>
              <w:t xml:space="preserve"> 10 de octubre de 2024</w:t>
            </w:r>
          </w:p>
          <w:p w14:paraId="3BB5C21D" w14:textId="77777777" w:rsidR="00703AAD" w:rsidRPr="00703AAD" w:rsidRDefault="00703AAD" w:rsidP="00703AAD">
            <w:pPr>
              <w:ind w:right="567"/>
              <w:jc w:val="both"/>
              <w:rPr>
                <w:rFonts w:ascii="Arial Narrow" w:hAnsi="Arial Narrow"/>
              </w:rPr>
            </w:pPr>
          </w:p>
          <w:p w14:paraId="13766E63" w14:textId="4AF13C35" w:rsidR="00EF5A53" w:rsidRDefault="008D79C8" w:rsidP="00EF5A53">
            <w:pPr>
              <w:pStyle w:val="Prrafodelista"/>
              <w:numPr>
                <w:ilvl w:val="0"/>
                <w:numId w:val="5"/>
              </w:numPr>
              <w:ind w:left="759" w:right="567" w:hanging="283"/>
              <w:jc w:val="both"/>
              <w:rPr>
                <w:rFonts w:ascii="Arial Narrow" w:hAnsi="Arial Narrow"/>
              </w:rPr>
            </w:pPr>
            <w:r w:rsidRPr="00650A76">
              <w:rPr>
                <w:rFonts w:ascii="Arial Narrow" w:hAnsi="Arial Narrow"/>
                <w:b/>
                <w:bCs/>
              </w:rPr>
              <w:t xml:space="preserve">Auto del </w:t>
            </w:r>
            <w:r w:rsidR="009C44ED" w:rsidRPr="00650A76">
              <w:rPr>
                <w:rFonts w:ascii="Arial Narrow" w:hAnsi="Arial Narrow"/>
                <w:b/>
                <w:bCs/>
              </w:rPr>
              <w:t>18 de febrero de 2024</w:t>
            </w:r>
            <w:r w:rsidR="00EF5A53" w:rsidRPr="00650A76">
              <w:rPr>
                <w:rFonts w:ascii="Arial Narrow" w:hAnsi="Arial Narrow"/>
                <w:b/>
                <w:bCs/>
              </w:rPr>
              <w:t>:</w:t>
            </w:r>
            <w:r w:rsidR="00EF5A53" w:rsidRPr="00650A76">
              <w:rPr>
                <w:rFonts w:ascii="Arial Narrow" w:hAnsi="Arial Narrow"/>
              </w:rPr>
              <w:t xml:space="preserve"> </w:t>
            </w:r>
            <w:r w:rsidR="009C44ED" w:rsidRPr="00650A76">
              <w:rPr>
                <w:rFonts w:ascii="Arial Narrow" w:hAnsi="Arial Narrow"/>
              </w:rPr>
              <w:t xml:space="preserve">Fija fecha para celebrar audiencia inicial para el </w:t>
            </w:r>
            <w:r w:rsidR="00F057A7" w:rsidRPr="00650A76">
              <w:rPr>
                <w:rFonts w:ascii="Arial Narrow" w:hAnsi="Arial Narrow"/>
              </w:rPr>
              <w:t>11 de marzo de</w:t>
            </w:r>
            <w:r w:rsidR="00EF5A53" w:rsidRPr="00650A76">
              <w:rPr>
                <w:rFonts w:ascii="Arial Narrow" w:hAnsi="Arial Narrow"/>
              </w:rPr>
              <w:t xml:space="preserve"> </w:t>
            </w:r>
            <w:r w:rsidR="00F057A7" w:rsidRPr="00650A76">
              <w:rPr>
                <w:rFonts w:ascii="Arial Narrow" w:hAnsi="Arial Narrow"/>
              </w:rPr>
              <w:t>2025</w:t>
            </w:r>
            <w:r w:rsidR="009C44ED" w:rsidRPr="00650A76">
              <w:rPr>
                <w:rFonts w:ascii="Arial Narrow" w:hAnsi="Arial Narrow"/>
              </w:rPr>
              <w:t>.</w:t>
            </w:r>
          </w:p>
          <w:p w14:paraId="581D0C95" w14:textId="77777777" w:rsidR="00703AAD" w:rsidRPr="00703AAD" w:rsidRDefault="00703AAD" w:rsidP="00703AAD">
            <w:pPr>
              <w:ind w:right="567"/>
              <w:jc w:val="both"/>
              <w:rPr>
                <w:rFonts w:ascii="Arial Narrow" w:hAnsi="Arial Narrow"/>
              </w:rPr>
            </w:pPr>
          </w:p>
          <w:p w14:paraId="2DBCBD60" w14:textId="387C35CE" w:rsidR="00B1353C" w:rsidRPr="00731487" w:rsidRDefault="00B1353C" w:rsidP="00EF5A53">
            <w:pPr>
              <w:pStyle w:val="Prrafodelista"/>
              <w:numPr>
                <w:ilvl w:val="0"/>
                <w:numId w:val="5"/>
              </w:numPr>
              <w:ind w:left="759" w:right="567" w:hanging="283"/>
              <w:jc w:val="both"/>
              <w:rPr>
                <w:rFonts w:ascii="Arial Narrow" w:hAnsi="Arial Narrow"/>
              </w:rPr>
            </w:pPr>
            <w:r>
              <w:rPr>
                <w:rFonts w:ascii="Arial Narrow" w:hAnsi="Arial Narrow"/>
                <w:b/>
                <w:bCs/>
              </w:rPr>
              <w:t>Audiencia inicial –</w:t>
            </w:r>
            <w:r>
              <w:rPr>
                <w:rFonts w:ascii="Arial Narrow" w:hAnsi="Arial Narrow"/>
              </w:rPr>
              <w:t xml:space="preserve"> </w:t>
            </w:r>
            <w:r w:rsidRPr="00B1353C">
              <w:rPr>
                <w:rFonts w:ascii="Arial Narrow" w:hAnsi="Arial Narrow"/>
                <w:b/>
                <w:bCs/>
              </w:rPr>
              <w:t>artículo 180 CPACA:</w:t>
            </w:r>
            <w:r>
              <w:rPr>
                <w:rFonts w:ascii="Arial Narrow" w:hAnsi="Arial Narrow"/>
                <w:b/>
                <w:bCs/>
              </w:rPr>
              <w:t xml:space="preserve"> </w:t>
            </w:r>
            <w:r w:rsidRPr="00731487">
              <w:rPr>
                <w:rFonts w:ascii="Arial Narrow" w:hAnsi="Arial Narrow"/>
              </w:rPr>
              <w:t xml:space="preserve">El 11 de marzo de 20205 se celebró </w:t>
            </w:r>
            <w:r w:rsidR="00703AAD" w:rsidRPr="00731487">
              <w:rPr>
                <w:rFonts w:ascii="Arial Narrow" w:hAnsi="Arial Narrow"/>
              </w:rPr>
              <w:t>la diligencia en donde se agotaron las siguientes etapas:</w:t>
            </w:r>
          </w:p>
          <w:p w14:paraId="638281E5" w14:textId="77777777" w:rsidR="00703AAD" w:rsidRPr="00703AAD" w:rsidRDefault="00703AAD" w:rsidP="00703AAD">
            <w:pPr>
              <w:pStyle w:val="Prrafodelista"/>
              <w:rPr>
                <w:rFonts w:ascii="Arial Narrow" w:hAnsi="Arial Narrow"/>
              </w:rPr>
            </w:pPr>
          </w:p>
          <w:p w14:paraId="108AF5D6" w14:textId="20B9BAF1" w:rsidR="00703AAD" w:rsidRDefault="00703AAD" w:rsidP="00703AAD">
            <w:pPr>
              <w:pStyle w:val="Prrafodelista"/>
              <w:numPr>
                <w:ilvl w:val="0"/>
                <w:numId w:val="5"/>
              </w:numPr>
              <w:ind w:right="567"/>
              <w:jc w:val="both"/>
              <w:rPr>
                <w:rFonts w:ascii="Arial Narrow" w:hAnsi="Arial Narrow"/>
              </w:rPr>
            </w:pPr>
            <w:r>
              <w:rPr>
                <w:rFonts w:ascii="Arial Narrow" w:hAnsi="Arial Narrow"/>
              </w:rPr>
              <w:t>Saneamiento del litigio</w:t>
            </w:r>
          </w:p>
          <w:p w14:paraId="5098FB02" w14:textId="77777777" w:rsidR="00147EFE" w:rsidRPr="00147EFE" w:rsidRDefault="00147EFE" w:rsidP="00147EFE">
            <w:pPr>
              <w:ind w:right="567"/>
              <w:jc w:val="both"/>
              <w:rPr>
                <w:rFonts w:ascii="Arial Narrow" w:hAnsi="Arial Narrow"/>
              </w:rPr>
            </w:pPr>
          </w:p>
          <w:p w14:paraId="539B4DB2" w14:textId="532C97EB" w:rsidR="00703AAD" w:rsidRDefault="00703AAD" w:rsidP="00703AAD">
            <w:pPr>
              <w:pStyle w:val="Prrafodelista"/>
              <w:numPr>
                <w:ilvl w:val="0"/>
                <w:numId w:val="5"/>
              </w:numPr>
              <w:ind w:right="567"/>
              <w:jc w:val="both"/>
              <w:rPr>
                <w:rFonts w:ascii="Arial Narrow" w:hAnsi="Arial Narrow"/>
              </w:rPr>
            </w:pPr>
            <w:r>
              <w:rPr>
                <w:rFonts w:ascii="Arial Narrow" w:hAnsi="Arial Narrow"/>
              </w:rPr>
              <w:t>Conciliación: Declarándose fallida, al no existir animo conciliatorio entre las partes.</w:t>
            </w:r>
          </w:p>
          <w:p w14:paraId="2C9EC72F" w14:textId="77777777" w:rsidR="00147EFE" w:rsidRPr="00147EFE" w:rsidRDefault="00147EFE" w:rsidP="00147EFE">
            <w:pPr>
              <w:ind w:right="567"/>
              <w:jc w:val="both"/>
              <w:rPr>
                <w:rFonts w:ascii="Arial Narrow" w:hAnsi="Arial Narrow"/>
              </w:rPr>
            </w:pPr>
          </w:p>
          <w:p w14:paraId="02633037" w14:textId="10A4D2DA" w:rsidR="00703AAD" w:rsidRDefault="00703AAD" w:rsidP="00703AAD">
            <w:pPr>
              <w:pStyle w:val="Prrafodelista"/>
              <w:numPr>
                <w:ilvl w:val="0"/>
                <w:numId w:val="5"/>
              </w:numPr>
              <w:ind w:right="567"/>
              <w:jc w:val="both"/>
              <w:rPr>
                <w:rFonts w:ascii="Arial Narrow" w:hAnsi="Arial Narrow"/>
              </w:rPr>
            </w:pPr>
            <w:r>
              <w:rPr>
                <w:rFonts w:ascii="Arial Narrow" w:hAnsi="Arial Narrow"/>
              </w:rPr>
              <w:t>Fijación del litigio.</w:t>
            </w:r>
          </w:p>
          <w:p w14:paraId="1339D0F1" w14:textId="77777777" w:rsidR="00147EFE" w:rsidRPr="00147EFE" w:rsidRDefault="00147EFE" w:rsidP="00147EFE">
            <w:pPr>
              <w:ind w:right="567"/>
              <w:jc w:val="both"/>
              <w:rPr>
                <w:rFonts w:ascii="Arial Narrow" w:hAnsi="Arial Narrow"/>
              </w:rPr>
            </w:pPr>
          </w:p>
          <w:p w14:paraId="3D6C3094" w14:textId="2970AD99" w:rsidR="00147EFE" w:rsidRDefault="00703AAD" w:rsidP="00147EFE">
            <w:pPr>
              <w:pStyle w:val="Prrafodelista"/>
              <w:numPr>
                <w:ilvl w:val="0"/>
                <w:numId w:val="5"/>
              </w:numPr>
              <w:ind w:right="567"/>
              <w:jc w:val="both"/>
              <w:rPr>
                <w:rFonts w:ascii="Arial Narrow" w:hAnsi="Arial Narrow"/>
              </w:rPr>
            </w:pPr>
            <w:r>
              <w:rPr>
                <w:rFonts w:ascii="Arial Narrow" w:hAnsi="Arial Narrow"/>
              </w:rPr>
              <w:t>Decreto de Pruebas</w:t>
            </w:r>
            <w:r w:rsidR="00147EFE">
              <w:rPr>
                <w:rFonts w:ascii="Arial Narrow" w:hAnsi="Arial Narrow"/>
              </w:rPr>
              <w:t>: Se decretaron las pruebas documentales aportadas por las partes</w:t>
            </w:r>
            <w:r w:rsidR="00C0495D">
              <w:rPr>
                <w:rFonts w:ascii="Arial Narrow" w:hAnsi="Arial Narrow"/>
              </w:rPr>
              <w:t>.</w:t>
            </w:r>
          </w:p>
          <w:p w14:paraId="46DA333E" w14:textId="77777777" w:rsidR="00C0495D" w:rsidRPr="00C0495D" w:rsidRDefault="00C0495D" w:rsidP="00C0495D">
            <w:pPr>
              <w:pStyle w:val="Prrafodelista"/>
              <w:rPr>
                <w:rFonts w:ascii="Arial Narrow" w:hAnsi="Arial Narrow"/>
              </w:rPr>
            </w:pPr>
          </w:p>
          <w:p w14:paraId="1926913E" w14:textId="77777777" w:rsidR="00C0495D" w:rsidRDefault="00C0495D" w:rsidP="00C0495D">
            <w:pPr>
              <w:pStyle w:val="Prrafodelista"/>
              <w:ind w:left="1306" w:right="567"/>
              <w:jc w:val="both"/>
              <w:rPr>
                <w:rFonts w:ascii="Arial Narrow" w:hAnsi="Arial Narrow"/>
              </w:rPr>
            </w:pPr>
            <w:r>
              <w:rPr>
                <w:rFonts w:ascii="Arial Narrow" w:hAnsi="Arial Narrow"/>
              </w:rPr>
              <w:t>Se decretaron las siguientes pruebas testimoniales:</w:t>
            </w:r>
          </w:p>
          <w:p w14:paraId="2006EEA9" w14:textId="77777777" w:rsidR="00C0495D" w:rsidRDefault="00C0495D" w:rsidP="00C0495D">
            <w:pPr>
              <w:pStyle w:val="Prrafodelista"/>
              <w:ind w:left="1306" w:right="567"/>
              <w:jc w:val="both"/>
              <w:rPr>
                <w:rFonts w:ascii="Arial Narrow" w:hAnsi="Arial Narrow"/>
              </w:rPr>
            </w:pPr>
          </w:p>
          <w:p w14:paraId="62F6465F" w14:textId="77777777" w:rsidR="00C0495D" w:rsidRDefault="00147EFE" w:rsidP="00C0495D">
            <w:pPr>
              <w:pStyle w:val="Prrafodelista"/>
              <w:ind w:left="1306" w:right="567"/>
              <w:jc w:val="both"/>
              <w:rPr>
                <w:rFonts w:ascii="Arial Narrow" w:hAnsi="Arial Narrow"/>
                <w:lang w:val="es-CO"/>
              </w:rPr>
            </w:pPr>
            <w:r>
              <w:rPr>
                <w:rFonts w:ascii="Arial Narrow" w:hAnsi="Arial Narrow"/>
              </w:rPr>
              <w:t>A favor del demandante:</w:t>
            </w:r>
            <w:r w:rsidR="00C0495D">
              <w:rPr>
                <w:rFonts w:ascii="Arial Narrow" w:hAnsi="Arial Narrow"/>
              </w:rPr>
              <w:t xml:space="preserve"> </w:t>
            </w:r>
            <w:r w:rsidR="00C0495D" w:rsidRPr="004C2F1B">
              <w:rPr>
                <w:rFonts w:ascii="Arial Narrow" w:hAnsi="Arial Narrow"/>
                <w:lang w:val="es-CO"/>
              </w:rPr>
              <w:t xml:space="preserve"> </w:t>
            </w:r>
          </w:p>
          <w:p w14:paraId="3B9E9B92" w14:textId="77777777" w:rsidR="00C0495D" w:rsidRDefault="00C0495D" w:rsidP="00C0495D">
            <w:pPr>
              <w:pStyle w:val="Prrafodelista"/>
              <w:ind w:left="1306" w:right="567"/>
              <w:jc w:val="both"/>
              <w:rPr>
                <w:rFonts w:ascii="Arial Narrow" w:hAnsi="Arial Narrow"/>
                <w:lang w:val="es-CO"/>
              </w:rPr>
            </w:pPr>
          </w:p>
          <w:p w14:paraId="02824360" w14:textId="77777777" w:rsidR="00C0495D" w:rsidRDefault="00C0495D" w:rsidP="00C0495D">
            <w:pPr>
              <w:pStyle w:val="Prrafodelista"/>
              <w:ind w:left="1306" w:right="567"/>
              <w:jc w:val="both"/>
              <w:rPr>
                <w:rFonts w:ascii="Arial Narrow" w:hAnsi="Arial Narrow"/>
                <w:lang w:val="es-CO"/>
              </w:rPr>
            </w:pPr>
            <w:r w:rsidRPr="00C0495D">
              <w:rPr>
                <w:rFonts w:ascii="Arial Narrow" w:hAnsi="Arial Narrow"/>
                <w:lang w:val="es-CO"/>
              </w:rPr>
              <w:t xml:space="preserve">Álvaro Ayala Aristizábal, quien fuera el Asesor Jurídico del Consorcio SAYP 2011 </w:t>
            </w:r>
          </w:p>
          <w:p w14:paraId="566C0C90" w14:textId="5DC8FC41" w:rsidR="00C0495D" w:rsidRPr="004C2F1B" w:rsidRDefault="00C0495D" w:rsidP="00C0495D">
            <w:pPr>
              <w:pStyle w:val="Prrafodelista"/>
              <w:ind w:left="1306" w:right="567"/>
              <w:jc w:val="both"/>
              <w:rPr>
                <w:rFonts w:ascii="Arial Narrow" w:hAnsi="Arial Narrow"/>
                <w:lang w:val="es-CO"/>
              </w:rPr>
            </w:pPr>
            <w:r w:rsidRPr="003122B9">
              <w:rPr>
                <w:rFonts w:ascii="Arial Narrow" w:hAnsi="Arial Narrow"/>
                <w:lang w:val="es-CO"/>
              </w:rPr>
              <w:t>Francisco Andrés Sanabria Valdés, quien fuera Gerente de Liquidaciones y</w:t>
            </w:r>
            <w:r w:rsidRPr="004C2F1B">
              <w:rPr>
                <w:rFonts w:ascii="Arial Narrow" w:hAnsi="Arial Narrow"/>
                <w:lang w:val="es-CO"/>
              </w:rPr>
              <w:t xml:space="preserve"> </w:t>
            </w:r>
            <w:r w:rsidRPr="003122B9">
              <w:rPr>
                <w:rFonts w:ascii="Arial Narrow" w:hAnsi="Arial Narrow"/>
                <w:lang w:val="es-CO"/>
              </w:rPr>
              <w:t>Remanentes de</w:t>
            </w:r>
            <w:r w:rsidRPr="004C2F1B">
              <w:rPr>
                <w:rFonts w:ascii="Arial Narrow" w:hAnsi="Arial Narrow"/>
                <w:lang w:val="es-CO"/>
              </w:rPr>
              <w:t xml:space="preserve"> la</w:t>
            </w:r>
            <w:r w:rsidRPr="003122B9">
              <w:rPr>
                <w:rFonts w:ascii="Arial Narrow" w:hAnsi="Arial Narrow"/>
                <w:lang w:val="es-CO"/>
              </w:rPr>
              <w:t xml:space="preserve"> Fiduprevisora</w:t>
            </w:r>
            <w:r w:rsidRPr="004C2F1B">
              <w:rPr>
                <w:rFonts w:ascii="Arial Narrow" w:hAnsi="Arial Narrow"/>
                <w:lang w:val="es-CO"/>
              </w:rPr>
              <w:t>.</w:t>
            </w:r>
          </w:p>
          <w:p w14:paraId="56A7B1ED" w14:textId="77777777" w:rsidR="00147EFE" w:rsidRPr="00147EFE" w:rsidRDefault="00147EFE" w:rsidP="00147EFE">
            <w:pPr>
              <w:pStyle w:val="Prrafodelista"/>
              <w:rPr>
                <w:rFonts w:ascii="Arial Narrow" w:hAnsi="Arial Narrow"/>
              </w:rPr>
            </w:pPr>
          </w:p>
          <w:p w14:paraId="20B942DE" w14:textId="77777777" w:rsidR="00C0495D" w:rsidRDefault="00147EFE" w:rsidP="00C0495D">
            <w:pPr>
              <w:pStyle w:val="Prrafodelista"/>
              <w:ind w:left="1306" w:right="567"/>
              <w:jc w:val="both"/>
              <w:rPr>
                <w:rFonts w:ascii="Arial Narrow" w:hAnsi="Arial Narrow"/>
              </w:rPr>
            </w:pPr>
            <w:r>
              <w:rPr>
                <w:rFonts w:ascii="Arial Narrow" w:hAnsi="Arial Narrow"/>
              </w:rPr>
              <w:t>A favor de la ADRES</w:t>
            </w:r>
            <w:r w:rsidR="00122CF4">
              <w:rPr>
                <w:rFonts w:ascii="Arial Narrow" w:hAnsi="Arial Narrow"/>
              </w:rPr>
              <w:t>:</w:t>
            </w:r>
          </w:p>
          <w:p w14:paraId="079A6F90" w14:textId="77777777" w:rsidR="00C0495D" w:rsidRDefault="00C0495D" w:rsidP="00C0495D">
            <w:pPr>
              <w:pStyle w:val="Prrafodelista"/>
              <w:ind w:left="1306" w:right="567"/>
              <w:jc w:val="both"/>
              <w:rPr>
                <w:rFonts w:ascii="Arial Narrow" w:hAnsi="Arial Narrow"/>
              </w:rPr>
            </w:pPr>
          </w:p>
          <w:p w14:paraId="77ACC1CE" w14:textId="2EAB0750" w:rsidR="00C0495D" w:rsidRPr="00C0495D" w:rsidRDefault="00C0495D" w:rsidP="00C0495D">
            <w:pPr>
              <w:pStyle w:val="Prrafodelista"/>
              <w:ind w:left="1306" w:right="567"/>
              <w:jc w:val="both"/>
              <w:rPr>
                <w:rFonts w:ascii="Arial Narrow" w:hAnsi="Arial Narrow"/>
              </w:rPr>
            </w:pPr>
            <w:r w:rsidRPr="00C0495D">
              <w:rPr>
                <w:rFonts w:ascii="Arial Narrow" w:hAnsi="Arial Narrow"/>
              </w:rPr>
              <w:t>J</w:t>
            </w:r>
            <w:r w:rsidRPr="00C0495D">
              <w:rPr>
                <w:rFonts w:ascii="Arial Narrow" w:hAnsi="Arial Narrow"/>
                <w:lang w:val="es-CO"/>
              </w:rPr>
              <w:t>uan Camilo Martínez Rodríguez,</w:t>
            </w:r>
            <w:r w:rsidRPr="004C2F1B">
              <w:rPr>
                <w:rFonts w:ascii="Arial Narrow" w:hAnsi="Arial Narrow"/>
                <w:lang w:val="es-CO"/>
              </w:rPr>
              <w:t xml:space="preserve"> funcionario de la Dirección Administrativa y Financiera de la ADRES. </w:t>
            </w:r>
          </w:p>
          <w:p w14:paraId="62CE157D" w14:textId="77777777" w:rsidR="00C0495D" w:rsidRPr="00C0495D" w:rsidRDefault="00C0495D" w:rsidP="00C0495D">
            <w:pPr>
              <w:ind w:right="567"/>
              <w:jc w:val="both"/>
              <w:rPr>
                <w:rFonts w:ascii="Arial Narrow" w:hAnsi="Arial Narrow"/>
              </w:rPr>
            </w:pPr>
          </w:p>
          <w:p w14:paraId="1CF65183" w14:textId="17C29372" w:rsidR="008029F5" w:rsidRDefault="00703AAD" w:rsidP="008029F5">
            <w:pPr>
              <w:pStyle w:val="Prrafodelista"/>
              <w:numPr>
                <w:ilvl w:val="0"/>
                <w:numId w:val="5"/>
              </w:numPr>
              <w:ind w:right="567"/>
              <w:jc w:val="both"/>
              <w:rPr>
                <w:rFonts w:ascii="Arial Narrow" w:hAnsi="Arial Narrow"/>
              </w:rPr>
            </w:pPr>
            <w:r>
              <w:rPr>
                <w:rFonts w:ascii="Arial Narrow" w:hAnsi="Arial Narrow"/>
              </w:rPr>
              <w:t>Decisi</w:t>
            </w:r>
            <w:r w:rsidR="00147EFE">
              <w:rPr>
                <w:rFonts w:ascii="Arial Narrow" w:hAnsi="Arial Narrow"/>
              </w:rPr>
              <w:t>ón de la medida cautelar propuesta por el demandante, la cual fue negada por el Tribunal</w:t>
            </w:r>
            <w:r w:rsidR="00122CF4">
              <w:rPr>
                <w:rFonts w:ascii="Arial Narrow" w:hAnsi="Arial Narrow"/>
              </w:rPr>
              <w:t>.</w:t>
            </w:r>
          </w:p>
          <w:p w14:paraId="16DFD8BD" w14:textId="77777777" w:rsidR="008029F5" w:rsidRPr="008029F5" w:rsidRDefault="008029F5" w:rsidP="008029F5">
            <w:pPr>
              <w:ind w:left="946" w:right="567"/>
              <w:jc w:val="both"/>
              <w:rPr>
                <w:rFonts w:ascii="Arial Narrow" w:hAnsi="Arial Narrow"/>
              </w:rPr>
            </w:pPr>
          </w:p>
          <w:p w14:paraId="60529D94" w14:textId="2A75D918" w:rsidR="008029F5" w:rsidRPr="008029F5" w:rsidRDefault="008029F5" w:rsidP="008029F5">
            <w:pPr>
              <w:pStyle w:val="Prrafodelista"/>
              <w:numPr>
                <w:ilvl w:val="0"/>
                <w:numId w:val="5"/>
              </w:numPr>
              <w:ind w:right="567"/>
              <w:jc w:val="both"/>
              <w:rPr>
                <w:rFonts w:ascii="Arial Narrow" w:hAnsi="Arial Narrow"/>
              </w:rPr>
            </w:pPr>
            <w:r>
              <w:rPr>
                <w:rFonts w:ascii="Arial Narrow" w:hAnsi="Arial Narrow"/>
              </w:rPr>
              <w:t>Se suspende la diligencia para fijar fecha para la audiencia de pruebas de que trata el artículo 181 del CPACA para el 1º de abril de 2025.</w:t>
            </w:r>
          </w:p>
          <w:p w14:paraId="305E5ED7" w14:textId="77777777" w:rsidR="00122CF4" w:rsidRDefault="00122CF4" w:rsidP="008029F5">
            <w:pPr>
              <w:pStyle w:val="Prrafodelista"/>
              <w:ind w:left="1306" w:right="567"/>
              <w:jc w:val="both"/>
              <w:rPr>
                <w:rFonts w:ascii="Arial Narrow" w:hAnsi="Arial Narrow"/>
              </w:rPr>
            </w:pPr>
          </w:p>
          <w:p w14:paraId="342169C7" w14:textId="0CBAEDE8" w:rsidR="00D30A36" w:rsidRDefault="00D30A36" w:rsidP="0004565E">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Jurisprudencia</w:t>
            </w:r>
          </w:p>
          <w:p w14:paraId="126E7B95" w14:textId="77777777" w:rsidR="00E526BA" w:rsidRDefault="00E526BA" w:rsidP="00E526BA">
            <w:pPr>
              <w:pStyle w:val="TableParagraph"/>
              <w:tabs>
                <w:tab w:val="left" w:pos="584"/>
              </w:tabs>
              <w:ind w:left="476" w:right="458"/>
              <w:jc w:val="both"/>
              <w:rPr>
                <w:rFonts w:ascii="Arial Narrow" w:hAnsi="Arial Narrow"/>
                <w:b/>
                <w:color w:val="000000" w:themeColor="text1"/>
                <w:lang w:val="es-CO"/>
              </w:rPr>
            </w:pPr>
          </w:p>
          <w:p w14:paraId="7E81910C" w14:textId="77777777" w:rsidR="00E526BA" w:rsidRDefault="00E526BA" w:rsidP="00E526BA">
            <w:pPr>
              <w:pStyle w:val="TableParagraph"/>
              <w:tabs>
                <w:tab w:val="left" w:pos="584"/>
              </w:tabs>
              <w:ind w:left="476" w:right="458"/>
              <w:rPr>
                <w:rFonts w:ascii="Arial Narrow" w:hAnsi="Arial Narrow"/>
                <w:b/>
                <w:color w:val="000000" w:themeColor="text1"/>
                <w:lang w:val="es-CO"/>
              </w:rPr>
            </w:pPr>
            <w:r>
              <w:rPr>
                <w:rFonts w:ascii="Arial Narrow" w:hAnsi="Arial Narrow"/>
                <w:b/>
                <w:color w:val="000000" w:themeColor="text1"/>
                <w:lang w:val="es-CO"/>
              </w:rPr>
              <w:t>N/A</w:t>
            </w:r>
          </w:p>
          <w:p w14:paraId="3CBD3298" w14:textId="414AD3F9" w:rsidR="00BA793A" w:rsidRPr="007F2B6C" w:rsidRDefault="00BA793A" w:rsidP="004C13AF">
            <w:pPr>
              <w:ind w:right="567"/>
              <w:jc w:val="both"/>
              <w:rPr>
                <w:rFonts w:ascii="Arial Narrow" w:hAnsi="Arial Narrow"/>
                <w:color w:val="000000" w:themeColor="text1"/>
                <w:lang w:val="es-CO"/>
              </w:rPr>
            </w:pPr>
          </w:p>
          <w:p w14:paraId="6EB2E0BB" w14:textId="034977B5" w:rsidR="00BA793A" w:rsidRDefault="00C11973" w:rsidP="0004565E">
            <w:pPr>
              <w:pStyle w:val="TableParagraph"/>
              <w:numPr>
                <w:ilvl w:val="0"/>
                <w:numId w:val="2"/>
              </w:numPr>
              <w:tabs>
                <w:tab w:val="left" w:pos="584"/>
              </w:tabs>
              <w:ind w:left="836" w:right="458"/>
              <w:jc w:val="both"/>
              <w:rPr>
                <w:rFonts w:ascii="Arial Narrow" w:hAnsi="Arial Narrow"/>
                <w:b/>
                <w:color w:val="000000" w:themeColor="text1"/>
                <w:lang w:val="es-CO"/>
              </w:rPr>
            </w:pPr>
            <w:r>
              <w:rPr>
                <w:rFonts w:ascii="Arial Narrow" w:hAnsi="Arial Narrow"/>
                <w:b/>
                <w:color w:val="000000" w:themeColor="text1"/>
                <w:lang w:val="es-CO"/>
              </w:rPr>
              <w:t xml:space="preserve"> </w:t>
            </w:r>
            <w:r w:rsidR="00BA793A" w:rsidRPr="00481D72">
              <w:rPr>
                <w:rFonts w:ascii="Arial Narrow" w:hAnsi="Arial Narrow"/>
                <w:b/>
                <w:color w:val="000000" w:themeColor="text1"/>
                <w:lang w:val="es-CO"/>
              </w:rPr>
              <w:t>Fallos judiciales por temas similares</w:t>
            </w:r>
            <w:r w:rsidR="004C13AF" w:rsidRPr="00481D72">
              <w:rPr>
                <w:rFonts w:ascii="Arial Narrow" w:hAnsi="Arial Narrow"/>
                <w:b/>
                <w:color w:val="000000" w:themeColor="text1"/>
                <w:lang w:val="es-CO"/>
              </w:rPr>
              <w:t>.</w:t>
            </w:r>
          </w:p>
          <w:p w14:paraId="34821CC4" w14:textId="7E966604" w:rsidR="00DC2128" w:rsidRDefault="00DC2128" w:rsidP="00DC2128">
            <w:pPr>
              <w:pStyle w:val="TableParagraph"/>
              <w:tabs>
                <w:tab w:val="left" w:pos="584"/>
              </w:tabs>
              <w:ind w:left="836" w:right="458"/>
              <w:jc w:val="both"/>
              <w:rPr>
                <w:rFonts w:ascii="Arial Narrow" w:hAnsi="Arial Narrow"/>
                <w:b/>
                <w:color w:val="000000" w:themeColor="text1"/>
                <w:lang w:val="es-CO"/>
              </w:rPr>
            </w:pPr>
          </w:p>
          <w:p w14:paraId="6AD49DFD" w14:textId="0ED73D71" w:rsidR="00DC2128" w:rsidRDefault="00DC2128" w:rsidP="0007261C">
            <w:pPr>
              <w:pStyle w:val="TableParagraph"/>
              <w:tabs>
                <w:tab w:val="left" w:pos="584"/>
              </w:tabs>
              <w:ind w:left="476" w:right="458"/>
              <w:rPr>
                <w:rFonts w:ascii="Arial Narrow" w:hAnsi="Arial Narrow"/>
                <w:b/>
                <w:color w:val="000000" w:themeColor="text1"/>
                <w:lang w:val="es-CO"/>
              </w:rPr>
            </w:pPr>
            <w:r>
              <w:rPr>
                <w:rFonts w:ascii="Arial Narrow" w:hAnsi="Arial Narrow"/>
                <w:b/>
                <w:color w:val="000000" w:themeColor="text1"/>
                <w:lang w:val="es-CO"/>
              </w:rPr>
              <w:t>N/A</w:t>
            </w:r>
          </w:p>
          <w:p w14:paraId="087309B8" w14:textId="77777777" w:rsidR="0017041B" w:rsidRPr="007F2B6C" w:rsidRDefault="0017041B" w:rsidP="00EF5A53">
            <w:pPr>
              <w:pStyle w:val="TableParagraph"/>
              <w:tabs>
                <w:tab w:val="left" w:pos="584"/>
              </w:tabs>
              <w:ind w:right="567"/>
              <w:jc w:val="both"/>
              <w:rPr>
                <w:rFonts w:ascii="Arial Narrow" w:hAnsi="Arial Narrow"/>
                <w:b/>
                <w:color w:val="000000" w:themeColor="text1"/>
                <w:lang w:val="es-CO"/>
              </w:rPr>
            </w:pPr>
          </w:p>
          <w:p w14:paraId="2F02E511" w14:textId="74A99B2B" w:rsidR="00885642" w:rsidRPr="0096621E" w:rsidRDefault="001942C6" w:rsidP="0004565E">
            <w:pPr>
              <w:pStyle w:val="TableParagraph"/>
              <w:numPr>
                <w:ilvl w:val="0"/>
                <w:numId w:val="2"/>
              </w:numPr>
              <w:tabs>
                <w:tab w:val="left" w:pos="584"/>
              </w:tabs>
              <w:ind w:left="836" w:right="458"/>
              <w:jc w:val="both"/>
              <w:rPr>
                <w:rFonts w:ascii="Arial Narrow" w:hAnsi="Arial Narrow"/>
                <w:bCs/>
                <w:color w:val="000000" w:themeColor="text1"/>
                <w:lang w:val="es-CO"/>
              </w:rPr>
            </w:pPr>
            <w:r w:rsidRPr="007F2B6C">
              <w:rPr>
                <w:rFonts w:ascii="Arial Narrow" w:hAnsi="Arial Narrow"/>
                <w:b/>
                <w:color w:val="000000" w:themeColor="text1"/>
                <w:lang w:val="es-CO"/>
              </w:rPr>
              <w:t xml:space="preserve">Aplica política, llamamientos, protocolos o instructivos institucionales o nacionales: </w:t>
            </w:r>
            <w:r w:rsidRPr="0096621E">
              <w:rPr>
                <w:rFonts w:ascii="Arial Narrow" w:hAnsi="Arial Narrow"/>
                <w:bCs/>
                <w:color w:val="000000" w:themeColor="text1"/>
                <w:lang w:val="es-CO"/>
              </w:rPr>
              <w:t>No</w:t>
            </w:r>
          </w:p>
          <w:p w14:paraId="1D296845" w14:textId="77777777" w:rsidR="00885642" w:rsidRPr="00481D72" w:rsidRDefault="00885642" w:rsidP="00F07DE8">
            <w:pPr>
              <w:pStyle w:val="TableParagraph"/>
              <w:tabs>
                <w:tab w:val="left" w:pos="584"/>
              </w:tabs>
              <w:ind w:left="476" w:right="458"/>
              <w:jc w:val="both"/>
              <w:rPr>
                <w:rFonts w:ascii="Arial Narrow" w:hAnsi="Arial Narrow"/>
                <w:b/>
                <w:color w:val="000000" w:themeColor="text1"/>
                <w:lang w:val="es-CO"/>
              </w:rPr>
            </w:pPr>
          </w:p>
          <w:p w14:paraId="2DDA7495" w14:textId="77777777" w:rsidR="000E16FB" w:rsidRDefault="00885642" w:rsidP="000E16FB">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Decisiones que tomo el comité en casos similares</w:t>
            </w:r>
          </w:p>
          <w:p w14:paraId="30B7326D" w14:textId="77777777" w:rsidR="000E16FB" w:rsidRDefault="000E16FB" w:rsidP="000E16FB">
            <w:pPr>
              <w:pStyle w:val="Prrafodelista"/>
              <w:rPr>
                <w:rFonts w:ascii="Arial Narrow" w:hAnsi="Arial Narrow"/>
              </w:rPr>
            </w:pPr>
          </w:p>
          <w:p w14:paraId="206EACC9" w14:textId="3203934D" w:rsidR="001942C6" w:rsidRDefault="000E16FB" w:rsidP="000E16FB">
            <w:pPr>
              <w:pStyle w:val="TableParagraph"/>
              <w:tabs>
                <w:tab w:val="left" w:pos="584"/>
              </w:tabs>
              <w:ind w:left="873" w:right="458"/>
              <w:jc w:val="both"/>
              <w:rPr>
                <w:rFonts w:ascii="Arial Narrow" w:hAnsi="Arial Narrow"/>
                <w:lang w:val="es-CO"/>
              </w:rPr>
            </w:pPr>
            <w:r w:rsidRPr="000E16FB">
              <w:rPr>
                <w:rFonts w:ascii="Arial Narrow" w:hAnsi="Arial Narrow"/>
                <w:bCs/>
                <w:color w:val="000000" w:themeColor="text1"/>
                <w:lang w:val="es-CO"/>
              </w:rPr>
              <w:t xml:space="preserve">El </w:t>
            </w:r>
            <w:r w:rsidRPr="000E16FB">
              <w:rPr>
                <w:rFonts w:ascii="Arial Narrow" w:hAnsi="Arial Narrow"/>
              </w:rPr>
              <w:t>Comité de Conciliación</w:t>
            </w:r>
            <w:r w:rsidR="00307348">
              <w:rPr>
                <w:rFonts w:ascii="Arial Narrow" w:hAnsi="Arial Narrow"/>
              </w:rPr>
              <w:t xml:space="preserve">, </w:t>
            </w:r>
            <w:r w:rsidRPr="000E16FB">
              <w:rPr>
                <w:rFonts w:ascii="Arial Narrow" w:hAnsi="Arial Narrow"/>
                <w:lang w:val="es-CO"/>
              </w:rPr>
              <w:t>en sesión extraordinaria No. 168 del 31 de mayo de 2024</w:t>
            </w:r>
            <w:r w:rsidR="00307348">
              <w:rPr>
                <w:rFonts w:ascii="Arial Narrow" w:hAnsi="Arial Narrow"/>
                <w:lang w:val="es-CO"/>
              </w:rPr>
              <w:t xml:space="preserve"> </w:t>
            </w:r>
            <w:r w:rsidR="00022F57">
              <w:rPr>
                <w:rFonts w:ascii="Arial Narrow" w:hAnsi="Arial Narrow"/>
                <w:lang w:val="es-CO"/>
              </w:rPr>
              <w:t>determinó modificar la decisión que se tomó en</w:t>
            </w:r>
            <w:r w:rsidR="00307348">
              <w:rPr>
                <w:rFonts w:ascii="Arial Narrow" w:hAnsi="Arial Narrow"/>
                <w:lang w:val="es-CO"/>
              </w:rPr>
              <w:t xml:space="preserve"> sesión extraordinaria No.</w:t>
            </w:r>
            <w:r w:rsidR="00307348" w:rsidRPr="00251E71">
              <w:rPr>
                <w:rFonts w:ascii="Arial Narrow" w:hAnsi="Arial Narrow"/>
                <w:lang w:val="es-CO"/>
              </w:rPr>
              <w:t xml:space="preserve"> 121 del 29 de noviembre de 2022</w:t>
            </w:r>
            <w:r w:rsidR="00307348">
              <w:rPr>
                <w:rFonts w:ascii="Arial Narrow" w:hAnsi="Arial Narrow"/>
                <w:lang w:val="es-CO"/>
              </w:rPr>
              <w:t xml:space="preserve"> y no presentar formula conciliatoria dentro del proceso de controversias contractuales suscitado entre el Consorcio SAYP 2011 y la ADRES</w:t>
            </w:r>
            <w:r w:rsidR="00BD7F40">
              <w:rPr>
                <w:rFonts w:ascii="Arial Narrow" w:hAnsi="Arial Narrow"/>
                <w:lang w:val="es-CO"/>
              </w:rPr>
              <w:t>, con ocasión a la ejecución y terminación del Contrato de Encargo Fiduciario No. 467 de 2011.</w:t>
            </w:r>
          </w:p>
          <w:p w14:paraId="225AE017" w14:textId="77777777" w:rsidR="000E16FB" w:rsidRPr="000E16FB" w:rsidRDefault="000E16FB" w:rsidP="000E16FB">
            <w:pPr>
              <w:pStyle w:val="TableParagraph"/>
              <w:tabs>
                <w:tab w:val="left" w:pos="584"/>
              </w:tabs>
              <w:ind w:right="458"/>
              <w:jc w:val="both"/>
              <w:rPr>
                <w:rFonts w:ascii="Arial Narrow" w:hAnsi="Arial Narrow"/>
                <w:b/>
                <w:color w:val="000000" w:themeColor="text1"/>
                <w:lang w:val="es-CO"/>
              </w:rPr>
            </w:pPr>
          </w:p>
          <w:p w14:paraId="571C9464" w14:textId="347D0F43" w:rsidR="001942C6" w:rsidRPr="00481D72" w:rsidRDefault="008E173B" w:rsidP="0004565E">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 xml:space="preserve"> </w:t>
            </w:r>
            <w:r w:rsidR="001942C6" w:rsidRPr="007F2B6C">
              <w:rPr>
                <w:rFonts w:ascii="Arial Narrow" w:hAnsi="Arial Narrow"/>
                <w:b/>
                <w:color w:val="000000" w:themeColor="text1"/>
                <w:lang w:val="es-CO"/>
              </w:rPr>
              <w:t>Evaluación del riesgo</w:t>
            </w:r>
          </w:p>
          <w:p w14:paraId="3CBF4CD7" w14:textId="77777777" w:rsidR="00CF35D9" w:rsidRPr="007F2B6C" w:rsidRDefault="00CF35D9" w:rsidP="00F07DE8">
            <w:pPr>
              <w:pStyle w:val="TableParagraph"/>
              <w:tabs>
                <w:tab w:val="left" w:pos="584"/>
              </w:tabs>
              <w:ind w:left="476" w:right="567"/>
              <w:jc w:val="both"/>
              <w:rPr>
                <w:rFonts w:ascii="Arial Narrow" w:eastAsia="Calibri" w:hAnsi="Arial Narrow"/>
                <w:b/>
                <w:bCs/>
                <w:color w:val="000000" w:themeColor="text1"/>
                <w:lang w:val="es-CO"/>
              </w:rPr>
            </w:pPr>
          </w:p>
          <w:p w14:paraId="7E75A268" w14:textId="4CAF1211" w:rsidR="001942C6" w:rsidRPr="007F2B6C" w:rsidRDefault="001942C6" w:rsidP="00F07DE8">
            <w:pPr>
              <w:pStyle w:val="TableParagraph"/>
              <w:ind w:left="476"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1:</w:t>
            </w:r>
            <w:r w:rsidR="00BB74E5" w:rsidRPr="007F2B6C">
              <w:rPr>
                <w:rFonts w:ascii="Arial Narrow" w:eastAsia="Calibri" w:hAnsi="Arial Narrow"/>
                <w:bCs/>
                <w:color w:val="000000" w:themeColor="text1"/>
                <w:lang w:val="es-CO"/>
              </w:rPr>
              <w:t xml:space="preserve"> </w:t>
            </w:r>
            <w:r w:rsidR="00C47DF5">
              <w:rPr>
                <w:rFonts w:ascii="Arial Narrow" w:eastAsia="Calibri" w:hAnsi="Arial Narrow"/>
                <w:bCs/>
                <w:color w:val="000000" w:themeColor="text1"/>
                <w:lang w:val="es-CO"/>
              </w:rPr>
              <w:t xml:space="preserve">MEDIO </w:t>
            </w:r>
            <w:r w:rsidR="00BB74E5" w:rsidRPr="007F2B6C">
              <w:rPr>
                <w:rFonts w:ascii="Arial Narrow" w:eastAsia="Calibri" w:hAnsi="Arial Narrow"/>
                <w:bCs/>
                <w:color w:val="000000" w:themeColor="text1"/>
                <w:lang w:val="es-CO"/>
              </w:rPr>
              <w:t>BAJO</w:t>
            </w:r>
          </w:p>
          <w:p w14:paraId="01E46712" w14:textId="67DFBB33" w:rsidR="001942C6" w:rsidRPr="007F2B6C" w:rsidRDefault="001942C6" w:rsidP="00F07DE8">
            <w:pPr>
              <w:pStyle w:val="TableParagraph"/>
              <w:ind w:left="476"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2:</w:t>
            </w:r>
            <w:r w:rsidR="0033568E" w:rsidRPr="007F2B6C">
              <w:rPr>
                <w:rFonts w:ascii="Arial Narrow" w:eastAsia="Calibri" w:hAnsi="Arial Narrow"/>
                <w:bCs/>
                <w:color w:val="000000" w:themeColor="text1"/>
                <w:lang w:val="es-CO"/>
              </w:rPr>
              <w:t xml:space="preserve"> BAJO</w:t>
            </w:r>
          </w:p>
          <w:p w14:paraId="3252D79C" w14:textId="7AD01C10" w:rsidR="001942C6" w:rsidRPr="007F2B6C" w:rsidRDefault="001942C6" w:rsidP="00F07DE8">
            <w:pPr>
              <w:pStyle w:val="TableParagraph"/>
              <w:ind w:left="476"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Criterio 3: BAJO</w:t>
            </w:r>
          </w:p>
          <w:p w14:paraId="6D05355A" w14:textId="12C767FF" w:rsidR="00810C4E" w:rsidRPr="007F2B6C" w:rsidRDefault="001942C6" w:rsidP="00F07DE8">
            <w:pPr>
              <w:pStyle w:val="TableParagraph"/>
              <w:ind w:left="476" w:right="567"/>
              <w:jc w:val="both"/>
              <w:rPr>
                <w:rFonts w:ascii="Arial Narrow" w:eastAsia="Calibri" w:hAnsi="Arial Narrow"/>
                <w:bCs/>
                <w:color w:val="000000" w:themeColor="text1"/>
                <w:lang w:val="es-CO"/>
              </w:rPr>
            </w:pPr>
            <w:r w:rsidRPr="007F2B6C">
              <w:rPr>
                <w:rFonts w:ascii="Arial Narrow" w:eastAsia="Calibri" w:hAnsi="Arial Narrow"/>
                <w:bCs/>
                <w:color w:val="000000" w:themeColor="text1"/>
                <w:lang w:val="es-CO"/>
              </w:rPr>
              <w:t xml:space="preserve">Criterio 4: </w:t>
            </w:r>
            <w:r w:rsidR="00C47DF5">
              <w:rPr>
                <w:rFonts w:ascii="Arial Narrow" w:eastAsia="Calibri" w:hAnsi="Arial Narrow"/>
                <w:bCs/>
                <w:color w:val="000000" w:themeColor="text1"/>
                <w:lang w:val="es-CO"/>
              </w:rPr>
              <w:t xml:space="preserve">MEDIO </w:t>
            </w:r>
            <w:r w:rsidR="00BB74E5" w:rsidRPr="007F2B6C">
              <w:rPr>
                <w:rFonts w:ascii="Arial Narrow" w:eastAsia="Calibri" w:hAnsi="Arial Narrow"/>
                <w:bCs/>
                <w:color w:val="000000" w:themeColor="text1"/>
                <w:lang w:val="es-CO"/>
              </w:rPr>
              <w:t>BAJO</w:t>
            </w:r>
          </w:p>
          <w:p w14:paraId="0E80868E" w14:textId="1828055D" w:rsidR="0082713E" w:rsidRPr="007F2B6C" w:rsidRDefault="0082713E" w:rsidP="00F07DE8">
            <w:pPr>
              <w:pStyle w:val="TableParagraph"/>
              <w:ind w:left="476" w:right="567"/>
              <w:jc w:val="both"/>
              <w:rPr>
                <w:rFonts w:ascii="Arial Narrow" w:eastAsia="Calibri" w:hAnsi="Arial Narrow"/>
                <w:bCs/>
                <w:color w:val="FF0000"/>
                <w:lang w:val="es-CO"/>
              </w:rPr>
            </w:pPr>
          </w:p>
          <w:p w14:paraId="603A396E" w14:textId="720EA7E6" w:rsidR="00100DE5" w:rsidRPr="00481D72" w:rsidRDefault="00100DE5" w:rsidP="0004565E">
            <w:pPr>
              <w:pStyle w:val="TableParagraph"/>
              <w:numPr>
                <w:ilvl w:val="0"/>
                <w:numId w:val="2"/>
              </w:numPr>
              <w:tabs>
                <w:tab w:val="left" w:pos="584"/>
              </w:tabs>
              <w:ind w:left="836" w:right="458"/>
              <w:jc w:val="both"/>
              <w:rPr>
                <w:rFonts w:ascii="Arial Narrow" w:hAnsi="Arial Narrow"/>
                <w:b/>
                <w:color w:val="000000" w:themeColor="text1"/>
                <w:lang w:val="es-CO"/>
              </w:rPr>
            </w:pPr>
            <w:r w:rsidRPr="007F2B6C">
              <w:rPr>
                <w:rFonts w:ascii="Arial Narrow" w:hAnsi="Arial Narrow"/>
                <w:b/>
                <w:color w:val="000000" w:themeColor="text1"/>
                <w:lang w:val="es-CO"/>
              </w:rPr>
              <w:t>Recomendaciones</w:t>
            </w:r>
          </w:p>
          <w:p w14:paraId="52629082" w14:textId="77777777" w:rsidR="00100DE5" w:rsidRPr="007F2B6C" w:rsidRDefault="00100DE5" w:rsidP="00294E41">
            <w:pPr>
              <w:pStyle w:val="TableParagraph"/>
              <w:ind w:left="567" w:right="567"/>
              <w:jc w:val="both"/>
              <w:rPr>
                <w:rFonts w:ascii="Arial Narrow" w:eastAsia="Calibri" w:hAnsi="Arial Narrow"/>
                <w:bCs/>
                <w:color w:val="000000" w:themeColor="text1"/>
                <w:lang w:val="es-CO"/>
              </w:rPr>
            </w:pPr>
          </w:p>
          <w:p w14:paraId="41EF3C9E" w14:textId="77777777" w:rsidR="0061328D" w:rsidRDefault="008557CD" w:rsidP="0061328D">
            <w:pPr>
              <w:pStyle w:val="Prrafodelista"/>
              <w:tabs>
                <w:tab w:val="left" w:pos="584"/>
              </w:tabs>
              <w:ind w:left="440" w:right="545"/>
              <w:jc w:val="both"/>
              <w:rPr>
                <w:rFonts w:ascii="Arial Narrow" w:hAnsi="Arial Narrow"/>
                <w:lang w:val="es-CO"/>
              </w:rPr>
            </w:pPr>
            <w:r w:rsidRPr="000A392F">
              <w:rPr>
                <w:rFonts w:ascii="Arial Narrow" w:hAnsi="Arial Narrow"/>
                <w:lang w:val="es-CO"/>
              </w:rPr>
              <w:t>En</w:t>
            </w:r>
            <w:r w:rsidRPr="00C577BA">
              <w:rPr>
                <w:rFonts w:ascii="Arial Narrow" w:hAnsi="Arial Narrow"/>
                <w:color w:val="000000"/>
                <w:lang w:val="es-CO"/>
              </w:rPr>
              <w:t xml:space="preserve"> virtud de los argumentos</w:t>
            </w:r>
            <w:r>
              <w:rPr>
                <w:rFonts w:ascii="Arial Narrow" w:hAnsi="Arial Narrow"/>
                <w:color w:val="000000"/>
                <w:lang w:val="es-CO"/>
              </w:rPr>
              <w:t xml:space="preserve"> expuestos</w:t>
            </w:r>
            <w:r w:rsidRPr="00C577BA">
              <w:rPr>
                <w:rFonts w:ascii="Arial Narrow" w:hAnsi="Arial Narrow"/>
                <w:color w:val="000000"/>
                <w:lang w:val="es-CO"/>
              </w:rPr>
              <w:t xml:space="preserve">, </w:t>
            </w:r>
            <w:r>
              <w:rPr>
                <w:rFonts w:ascii="Arial Narrow" w:hAnsi="Arial Narrow"/>
                <w:lang w:val="es-CO"/>
              </w:rPr>
              <w:t>l</w:t>
            </w:r>
            <w:r w:rsidRPr="00C577BA">
              <w:rPr>
                <w:rFonts w:ascii="Arial Narrow" w:hAnsi="Arial Narrow"/>
                <w:lang w:val="es-CO"/>
              </w:rPr>
              <w:t xml:space="preserve">a Oficina Asesora Jurídica </w:t>
            </w:r>
            <w:r w:rsidR="00543831">
              <w:rPr>
                <w:rFonts w:ascii="Arial Narrow" w:hAnsi="Arial Narrow"/>
                <w:lang w:val="es-CO"/>
              </w:rPr>
              <w:t xml:space="preserve">considera que en el presente caso </w:t>
            </w:r>
            <w:r w:rsidR="00543831" w:rsidRPr="0061328D">
              <w:rPr>
                <w:rFonts w:ascii="Arial Narrow" w:hAnsi="Arial Narrow"/>
                <w:b/>
                <w:bCs/>
                <w:u w:val="single"/>
                <w:lang w:val="es-CO"/>
              </w:rPr>
              <w:t>NO ES VIABLE</w:t>
            </w:r>
            <w:r w:rsidR="00543831">
              <w:rPr>
                <w:rFonts w:ascii="Arial Narrow" w:hAnsi="Arial Narrow"/>
                <w:lang w:val="es-CO"/>
              </w:rPr>
              <w:t xml:space="preserve"> acogerse al mecanismo de mediación, por las siguientes razones:</w:t>
            </w:r>
          </w:p>
          <w:p w14:paraId="099E72D2" w14:textId="77777777" w:rsidR="0061328D" w:rsidRDefault="0061328D" w:rsidP="0061328D">
            <w:pPr>
              <w:pStyle w:val="Prrafodelista"/>
              <w:tabs>
                <w:tab w:val="left" w:pos="584"/>
              </w:tabs>
              <w:ind w:left="440" w:right="545"/>
              <w:jc w:val="both"/>
              <w:rPr>
                <w:rFonts w:ascii="Arial Narrow" w:hAnsi="Arial Narrow"/>
                <w:lang w:val="es-CO"/>
              </w:rPr>
            </w:pPr>
          </w:p>
          <w:p w14:paraId="35228403" w14:textId="77777777" w:rsidR="00D74A87" w:rsidRDefault="00543831" w:rsidP="00D74A87">
            <w:pPr>
              <w:pStyle w:val="Prrafodelista"/>
              <w:tabs>
                <w:tab w:val="left" w:pos="584"/>
              </w:tabs>
              <w:ind w:left="440" w:right="545"/>
              <w:jc w:val="both"/>
              <w:rPr>
                <w:rFonts w:ascii="Arial Narrow" w:hAnsi="Arial Narrow"/>
                <w:color w:val="000000"/>
                <w:kern w:val="2"/>
                <w:lang w:eastAsia="es-CO" w:bidi="ar-SA"/>
                <w14:ligatures w14:val="standardContextual"/>
              </w:rPr>
            </w:pPr>
            <w:r>
              <w:rPr>
                <w:rFonts w:ascii="Arial Narrow" w:hAnsi="Arial Narrow"/>
                <w:lang w:val="es-CO"/>
              </w:rPr>
              <w:t xml:space="preserve">En primer </w:t>
            </w:r>
            <w:r w:rsidR="0072435C">
              <w:rPr>
                <w:rFonts w:ascii="Arial Narrow" w:hAnsi="Arial Narrow"/>
                <w:lang w:val="es-CO"/>
              </w:rPr>
              <w:t>lugar,</w:t>
            </w:r>
            <w:r>
              <w:rPr>
                <w:rFonts w:ascii="Arial Narrow" w:hAnsi="Arial Narrow"/>
                <w:lang w:val="es-CO"/>
              </w:rPr>
              <w:t xml:space="preserve"> la</w:t>
            </w:r>
            <w:r w:rsidR="0072435C">
              <w:rPr>
                <w:rFonts w:ascii="Arial Narrow" w:hAnsi="Arial Narrow"/>
                <w:lang w:val="es-CO"/>
              </w:rPr>
              <w:t>s</w:t>
            </w:r>
            <w:r>
              <w:rPr>
                <w:rFonts w:ascii="Arial Narrow" w:hAnsi="Arial Narrow"/>
                <w:lang w:val="es-CO"/>
              </w:rPr>
              <w:t xml:space="preserve"> </w:t>
            </w:r>
            <w:r w:rsidR="003E7180" w:rsidRPr="003C141A">
              <w:rPr>
                <w:rFonts w:ascii="Arial Narrow" w:eastAsia="Calibri" w:hAnsi="Arial Narrow"/>
                <w:bCs/>
                <w:color w:val="000000"/>
                <w:lang w:val="es-CO"/>
              </w:rPr>
              <w:t>Resoluci</w:t>
            </w:r>
            <w:r w:rsidR="00E008F2">
              <w:rPr>
                <w:rFonts w:ascii="Arial Narrow" w:eastAsia="Calibri" w:hAnsi="Arial Narrow"/>
                <w:bCs/>
                <w:color w:val="000000"/>
                <w:lang w:val="es-CO"/>
              </w:rPr>
              <w:t xml:space="preserve">ones </w:t>
            </w:r>
            <w:r w:rsidR="003E7180" w:rsidRPr="003C141A">
              <w:rPr>
                <w:rFonts w:ascii="Arial Narrow" w:eastAsia="Calibri" w:hAnsi="Arial Narrow"/>
                <w:bCs/>
                <w:color w:val="000000"/>
                <w:lang w:val="es-CO"/>
              </w:rPr>
              <w:t>N</w:t>
            </w:r>
            <w:r w:rsidR="00E008F2">
              <w:rPr>
                <w:rFonts w:ascii="Arial Narrow" w:eastAsia="Calibri" w:hAnsi="Arial Narrow"/>
                <w:bCs/>
                <w:color w:val="000000"/>
                <w:lang w:val="es-CO"/>
              </w:rPr>
              <w:t xml:space="preserve">o. </w:t>
            </w:r>
            <w:r w:rsidR="003E7180">
              <w:rPr>
                <w:rFonts w:ascii="Arial Narrow" w:eastAsia="Calibri" w:hAnsi="Arial Narrow"/>
                <w:bCs/>
                <w:color w:val="000000"/>
                <w:lang w:val="es-CO"/>
              </w:rPr>
              <w:t>544</w:t>
            </w:r>
            <w:r w:rsidR="003E7180" w:rsidRPr="003C141A">
              <w:rPr>
                <w:rFonts w:ascii="Arial Narrow" w:eastAsia="Calibri" w:hAnsi="Arial Narrow"/>
                <w:bCs/>
                <w:color w:val="000000"/>
                <w:lang w:val="es-CO"/>
              </w:rPr>
              <w:t xml:space="preserve"> del 2021</w:t>
            </w:r>
            <w:r w:rsidR="00E008F2">
              <w:rPr>
                <w:rFonts w:ascii="Arial Narrow" w:eastAsia="Calibri" w:hAnsi="Arial Narrow"/>
                <w:bCs/>
                <w:color w:val="000000"/>
                <w:lang w:val="es-CO"/>
              </w:rPr>
              <w:t xml:space="preserve"> y</w:t>
            </w:r>
            <w:r w:rsidR="003E7180" w:rsidRPr="003C141A">
              <w:rPr>
                <w:rFonts w:ascii="Arial Narrow" w:eastAsia="Calibri" w:hAnsi="Arial Narrow"/>
                <w:bCs/>
                <w:color w:val="000000"/>
                <w:lang w:val="es-CO"/>
              </w:rPr>
              <w:t xml:space="preserve"> N</w:t>
            </w:r>
            <w:r w:rsidR="00E008F2">
              <w:rPr>
                <w:rFonts w:ascii="Arial Narrow" w:eastAsia="Calibri" w:hAnsi="Arial Narrow"/>
                <w:bCs/>
                <w:color w:val="000000"/>
                <w:lang w:val="es-CO"/>
              </w:rPr>
              <w:t xml:space="preserve">o. </w:t>
            </w:r>
            <w:r w:rsidR="003E7180" w:rsidRPr="003C141A">
              <w:rPr>
                <w:rFonts w:ascii="Arial Narrow" w:eastAsia="Calibri" w:hAnsi="Arial Narrow"/>
                <w:bCs/>
                <w:color w:val="000000"/>
                <w:lang w:val="es-CO"/>
              </w:rPr>
              <w:t>609 del 2021</w:t>
            </w:r>
            <w:r w:rsidR="003E7180">
              <w:rPr>
                <w:rFonts w:ascii="Arial Narrow" w:eastAsia="Calibri" w:hAnsi="Arial Narrow"/>
                <w:bCs/>
                <w:color w:val="000000"/>
                <w:lang w:val="es-CO"/>
              </w:rPr>
              <w:t>, fue</w:t>
            </w:r>
            <w:r w:rsidR="00E008F2">
              <w:rPr>
                <w:rFonts w:ascii="Arial Narrow" w:eastAsia="Calibri" w:hAnsi="Arial Narrow"/>
                <w:bCs/>
                <w:color w:val="000000"/>
                <w:lang w:val="es-CO"/>
              </w:rPr>
              <w:t>ron emitidas</w:t>
            </w:r>
            <w:r w:rsidR="003E7180">
              <w:rPr>
                <w:rFonts w:ascii="Arial Narrow" w:eastAsia="Calibri" w:hAnsi="Arial Narrow"/>
                <w:bCs/>
                <w:color w:val="000000"/>
                <w:lang w:val="es-CO"/>
              </w:rPr>
              <w:t xml:space="preserve"> </w:t>
            </w:r>
            <w:r w:rsidR="003E7180" w:rsidRPr="00C577BA">
              <w:rPr>
                <w:rFonts w:ascii="Arial Narrow" w:hAnsi="Arial Narrow"/>
                <w:lang w:val="es-CO"/>
              </w:rPr>
              <w:t xml:space="preserve">en observancia de las garantías establecidas </w:t>
            </w:r>
            <w:r w:rsidR="003E7180">
              <w:rPr>
                <w:rFonts w:ascii="Arial Narrow" w:hAnsi="Arial Narrow"/>
                <w:lang w:val="es-CO"/>
              </w:rPr>
              <w:t>en favor de</w:t>
            </w:r>
            <w:r w:rsidR="00AD5717">
              <w:rPr>
                <w:rFonts w:ascii="Arial Narrow" w:hAnsi="Arial Narrow"/>
                <w:lang w:val="es-CO"/>
              </w:rPr>
              <w:t xml:space="preserve"> la</w:t>
            </w:r>
            <w:r w:rsidR="004A2DE8">
              <w:rPr>
                <w:rFonts w:ascii="Arial Narrow" w:hAnsi="Arial Narrow"/>
                <w:lang w:val="es-CO"/>
              </w:rPr>
              <w:t xml:space="preserve"> parte</w:t>
            </w:r>
            <w:r w:rsidR="00AD5717">
              <w:rPr>
                <w:rFonts w:ascii="Arial Narrow" w:hAnsi="Arial Narrow"/>
                <w:lang w:val="es-CO"/>
              </w:rPr>
              <w:t xml:space="preserve"> demandante </w:t>
            </w:r>
            <w:r w:rsidR="004A2DE8">
              <w:rPr>
                <w:rFonts w:ascii="Arial Narrow" w:hAnsi="Arial Narrow"/>
                <w:lang w:val="es-CO"/>
              </w:rPr>
              <w:t xml:space="preserve">y </w:t>
            </w:r>
            <w:r w:rsidR="003E7180" w:rsidRPr="004A2DE8">
              <w:rPr>
                <w:rFonts w:ascii="Arial Narrow" w:hAnsi="Arial Narrow"/>
                <w:color w:val="000000"/>
                <w:lang w:val="es-CO"/>
              </w:rPr>
              <w:t>en prevalencia de los derechos al debido proceso, defensa y contradicción</w:t>
            </w:r>
            <w:r w:rsidR="003156BC">
              <w:rPr>
                <w:rFonts w:ascii="Arial Narrow" w:hAnsi="Arial Narrow"/>
                <w:color w:val="000000"/>
                <w:lang w:val="es-CO"/>
              </w:rPr>
              <w:t xml:space="preserve">, </w:t>
            </w:r>
            <w:r w:rsidR="0061328D">
              <w:rPr>
                <w:rFonts w:ascii="Arial Narrow" w:hAnsi="Arial Narrow"/>
                <w:color w:val="000000"/>
                <w:lang w:val="es-CO"/>
              </w:rPr>
              <w:t xml:space="preserve">aunado a ello </w:t>
            </w:r>
            <w:r w:rsidR="0061328D">
              <w:rPr>
                <w:rFonts w:ascii="Arial Narrow" w:hAnsi="Arial Narrow"/>
                <w:color w:val="000000"/>
                <w:kern w:val="2"/>
                <w:lang w:eastAsia="es-CO" w:bidi="ar-SA"/>
                <w14:ligatures w14:val="standardContextual"/>
              </w:rPr>
              <w:t xml:space="preserve">fueron expedidas dentro de las competencias de la ADRES, se encuentran debidamente motivadas dado que los hechos que la </w:t>
            </w:r>
            <w:r w:rsidR="0061328D" w:rsidRPr="006F0A1D">
              <w:rPr>
                <w:rFonts w:ascii="Arial Narrow" w:hAnsi="Arial Narrow"/>
                <w:color w:val="000000"/>
                <w:kern w:val="2"/>
                <w:lang w:eastAsia="es-CO" w:bidi="ar-SA"/>
                <w14:ligatures w14:val="standardContextual"/>
              </w:rPr>
              <w:t>administración tuvo en cuenta para proferir su decisión fueron suficientes, determinantes y están debidamente probados</w:t>
            </w:r>
            <w:r w:rsidR="0061328D">
              <w:rPr>
                <w:rFonts w:ascii="Arial Narrow" w:hAnsi="Arial Narrow"/>
                <w:color w:val="000000"/>
                <w:kern w:val="2"/>
                <w:lang w:eastAsia="es-CO" w:bidi="ar-SA"/>
                <w14:ligatures w14:val="standardContextual"/>
              </w:rPr>
              <w:t>.</w:t>
            </w:r>
          </w:p>
          <w:p w14:paraId="16C11FD0" w14:textId="77777777" w:rsidR="00D74A87" w:rsidRDefault="00D74A87" w:rsidP="00D74A87">
            <w:pPr>
              <w:pStyle w:val="Prrafodelista"/>
              <w:tabs>
                <w:tab w:val="left" w:pos="584"/>
              </w:tabs>
              <w:ind w:left="440" w:right="545"/>
              <w:jc w:val="both"/>
              <w:rPr>
                <w:rFonts w:ascii="Arial Narrow" w:hAnsi="Arial Narrow"/>
                <w:color w:val="000000"/>
                <w:kern w:val="2"/>
                <w:lang w:eastAsia="es-CO" w:bidi="ar-SA"/>
                <w14:ligatures w14:val="standardContextual"/>
              </w:rPr>
            </w:pPr>
          </w:p>
          <w:p w14:paraId="791616E5" w14:textId="024FC600" w:rsidR="003E7180" w:rsidRDefault="00D74A87" w:rsidP="00D74A87">
            <w:pPr>
              <w:pStyle w:val="Prrafodelista"/>
              <w:tabs>
                <w:tab w:val="left" w:pos="584"/>
              </w:tabs>
              <w:ind w:left="440" w:right="545"/>
              <w:jc w:val="both"/>
              <w:rPr>
                <w:rFonts w:ascii="Arial Narrow" w:hAnsi="Arial Narrow"/>
                <w:lang w:val="es-CO"/>
              </w:rPr>
            </w:pPr>
            <w:r>
              <w:rPr>
                <w:rFonts w:ascii="Arial Narrow" w:hAnsi="Arial Narrow"/>
                <w:color w:val="000000"/>
                <w:kern w:val="2"/>
                <w:lang w:eastAsia="es-CO" w:bidi="ar-SA"/>
                <w14:ligatures w14:val="standardContextual"/>
              </w:rPr>
              <w:t>De otra parte</w:t>
            </w:r>
            <w:r w:rsidR="003E7180">
              <w:rPr>
                <w:rFonts w:ascii="Arial Narrow" w:hAnsi="Arial Narrow"/>
                <w:lang w:val="es-CO"/>
              </w:rPr>
              <w:t>, se evidencia que la metodología aplicada para la liquidación del</w:t>
            </w:r>
            <w:r w:rsidR="003E7180" w:rsidRPr="00804DE5">
              <w:rPr>
                <w:rFonts w:ascii="Arial Narrow" w:hAnsi="Arial Narrow"/>
                <w:lang w:val="es-CO"/>
              </w:rPr>
              <w:t xml:space="preserve"> contrato de encargo fiduciario N</w:t>
            </w:r>
            <w:r>
              <w:rPr>
                <w:rFonts w:ascii="Arial Narrow" w:hAnsi="Arial Narrow"/>
                <w:lang w:val="es-CO"/>
              </w:rPr>
              <w:t xml:space="preserve">o. </w:t>
            </w:r>
            <w:r w:rsidR="003E7180" w:rsidRPr="00804DE5">
              <w:rPr>
                <w:rFonts w:ascii="Arial Narrow" w:hAnsi="Arial Narrow"/>
                <w:lang w:val="es-CO"/>
              </w:rPr>
              <w:t>467 de 2011</w:t>
            </w:r>
            <w:r w:rsidR="003E7180">
              <w:rPr>
                <w:rFonts w:ascii="Arial Narrow" w:hAnsi="Arial Narrow"/>
                <w:lang w:val="es-CO"/>
              </w:rPr>
              <w:t xml:space="preserve"> </w:t>
            </w:r>
            <w:r w:rsidR="003E7180" w:rsidRPr="00804DE5">
              <w:rPr>
                <w:rFonts w:ascii="Arial Narrow" w:hAnsi="Arial Narrow"/>
                <w:lang w:val="es-CO"/>
              </w:rPr>
              <w:t>derivó de un consenso entre la ADRES, el Ministerio de Salud y Protección Social y el mismo Consorcio SAYP 2011</w:t>
            </w:r>
            <w:r w:rsidR="003E7180">
              <w:rPr>
                <w:rFonts w:ascii="Arial Narrow" w:hAnsi="Arial Narrow"/>
                <w:lang w:val="es-CO"/>
              </w:rPr>
              <w:t xml:space="preserve"> en desarrollo de lo previsto en el </w:t>
            </w:r>
            <w:r w:rsidR="003E7180" w:rsidRPr="0022760E">
              <w:rPr>
                <w:rFonts w:ascii="Arial Narrow" w:hAnsi="Arial Narrow"/>
                <w:lang w:val="es-CO"/>
              </w:rPr>
              <w:t>artículo 60 de la Ley 80 de 199</w:t>
            </w:r>
            <w:r w:rsidR="003E7180">
              <w:rPr>
                <w:rFonts w:ascii="Arial Narrow" w:hAnsi="Arial Narrow"/>
                <w:lang w:val="es-CO"/>
              </w:rPr>
              <w:t>3. Por lo tanto, no tiene como fin declarar incumplimientos contractuales ni demostrar daño, simplemente es una herramienta objetiva que presenta la valoración de la ejecución contractual atendiendo la complejidad del negocio jurídico celebrado.</w:t>
            </w:r>
          </w:p>
          <w:p w14:paraId="3BCA4573" w14:textId="77777777" w:rsidR="00251E71" w:rsidRDefault="00251E71" w:rsidP="00D74A87">
            <w:pPr>
              <w:pStyle w:val="Prrafodelista"/>
              <w:tabs>
                <w:tab w:val="left" w:pos="584"/>
              </w:tabs>
              <w:ind w:left="440" w:right="545"/>
              <w:jc w:val="both"/>
              <w:rPr>
                <w:rFonts w:ascii="Arial Narrow" w:hAnsi="Arial Narrow"/>
                <w:lang w:val="es-CO"/>
              </w:rPr>
            </w:pPr>
          </w:p>
          <w:p w14:paraId="199C2B42" w14:textId="7F7BE563" w:rsidR="005D1ADE" w:rsidRDefault="00251E71" w:rsidP="005D1ADE">
            <w:pPr>
              <w:pStyle w:val="Prrafodelista"/>
              <w:tabs>
                <w:tab w:val="left" w:pos="584"/>
              </w:tabs>
              <w:ind w:left="440" w:right="545"/>
              <w:jc w:val="both"/>
              <w:rPr>
                <w:rFonts w:ascii="Arial Narrow" w:hAnsi="Arial Narrow"/>
                <w:lang w:val="es-CO"/>
              </w:rPr>
            </w:pPr>
            <w:r>
              <w:rPr>
                <w:rFonts w:ascii="Arial Narrow" w:hAnsi="Arial Narrow"/>
                <w:lang w:val="es-CO"/>
              </w:rPr>
              <w:t xml:space="preserve">Ahora bien, </w:t>
            </w:r>
            <w:r w:rsidR="009933B8">
              <w:rPr>
                <w:rFonts w:ascii="Arial Narrow" w:hAnsi="Arial Narrow"/>
                <w:lang w:val="es-CO"/>
              </w:rPr>
              <w:t xml:space="preserve">la naturaleza del </w:t>
            </w:r>
            <w:r>
              <w:rPr>
                <w:rFonts w:ascii="Arial Narrow" w:hAnsi="Arial Narrow"/>
                <w:lang w:val="es-CO"/>
              </w:rPr>
              <w:t xml:space="preserve">presente caso ya fue objeto de estudio por parte del Comité de Conciliación en </w:t>
            </w:r>
            <w:r w:rsidR="008557CD" w:rsidRPr="00251E71">
              <w:rPr>
                <w:rFonts w:ascii="Arial Narrow" w:hAnsi="Arial Narrow"/>
                <w:lang w:val="es-CO"/>
              </w:rPr>
              <w:t xml:space="preserve">sesión extraordinaria </w:t>
            </w:r>
            <w:r>
              <w:rPr>
                <w:rFonts w:ascii="Arial Narrow" w:hAnsi="Arial Narrow"/>
                <w:lang w:val="es-CO"/>
              </w:rPr>
              <w:t>No.</w:t>
            </w:r>
            <w:r w:rsidR="008557CD" w:rsidRPr="00251E71">
              <w:rPr>
                <w:rFonts w:ascii="Arial Narrow" w:hAnsi="Arial Narrow"/>
                <w:lang w:val="es-CO"/>
              </w:rPr>
              <w:t xml:space="preserve"> 121 del 29 de noviembre de 2022, por medio de la cual se recomendó presentar fórmula conciliatoria, </w:t>
            </w:r>
            <w:r w:rsidR="00D27711">
              <w:rPr>
                <w:rFonts w:ascii="Arial Narrow" w:hAnsi="Arial Narrow"/>
                <w:lang w:val="es-CO"/>
              </w:rPr>
              <w:t xml:space="preserve">decisión que fue modificada por el Comité en uso de sus facultades legales en </w:t>
            </w:r>
            <w:r w:rsidR="00933BF6">
              <w:rPr>
                <w:rFonts w:ascii="Arial Narrow" w:hAnsi="Arial Narrow"/>
                <w:lang w:val="es-CO"/>
              </w:rPr>
              <w:t>sesión extraordinaria No. 168 del 31 de mayo de 2024</w:t>
            </w:r>
            <w:r w:rsidR="00DF549D">
              <w:rPr>
                <w:rFonts w:ascii="Arial Narrow" w:hAnsi="Arial Narrow"/>
                <w:lang w:val="es-CO"/>
              </w:rPr>
              <w:t xml:space="preserve"> en donde se </w:t>
            </w:r>
            <w:r w:rsidR="009A127B">
              <w:rPr>
                <w:rFonts w:ascii="Arial Narrow" w:hAnsi="Arial Narrow"/>
                <w:lang w:val="es-CO"/>
              </w:rPr>
              <w:t>desistió del acuerdo conciliatorio</w:t>
            </w:r>
            <w:r w:rsidR="005D1ADE">
              <w:rPr>
                <w:rFonts w:ascii="Arial Narrow" w:hAnsi="Arial Narrow"/>
                <w:lang w:val="es-CO"/>
              </w:rPr>
              <w:t>, de acuerdo con las siguientes consideraciones.</w:t>
            </w:r>
          </w:p>
          <w:p w14:paraId="3ED670F0" w14:textId="77777777" w:rsidR="005D1ADE" w:rsidRDefault="005D1ADE" w:rsidP="005D1ADE">
            <w:pPr>
              <w:pStyle w:val="Prrafodelista"/>
              <w:tabs>
                <w:tab w:val="left" w:pos="584"/>
              </w:tabs>
              <w:ind w:left="440" w:right="545"/>
              <w:jc w:val="both"/>
              <w:rPr>
                <w:rFonts w:ascii="Arial Narrow" w:hAnsi="Arial Narrow"/>
                <w:lang w:val="es-CO"/>
              </w:rPr>
            </w:pPr>
          </w:p>
          <w:p w14:paraId="171768EF" w14:textId="526CF471" w:rsidR="004C0269" w:rsidRDefault="0021469E" w:rsidP="008557CD">
            <w:pPr>
              <w:pStyle w:val="TableParagraph"/>
              <w:ind w:left="567" w:right="567"/>
              <w:jc w:val="both"/>
              <w:rPr>
                <w:rFonts w:ascii="Arial Narrow" w:hAnsi="Arial Narrow"/>
              </w:rPr>
            </w:pPr>
            <w:r>
              <w:rPr>
                <w:rFonts w:ascii="Arial Narrow" w:hAnsi="Arial Narrow"/>
              </w:rPr>
              <w:t>l</w:t>
            </w:r>
          </w:p>
          <w:p w14:paraId="32EE7B53" w14:textId="77777777" w:rsidR="004C0269" w:rsidRDefault="004C0269" w:rsidP="008557CD">
            <w:pPr>
              <w:pStyle w:val="TableParagraph"/>
              <w:ind w:left="567" w:right="567"/>
              <w:jc w:val="both"/>
              <w:rPr>
                <w:rFonts w:ascii="Arial Narrow" w:hAnsi="Arial Narrow"/>
              </w:rPr>
            </w:pPr>
          </w:p>
          <w:p w14:paraId="093CA70C" w14:textId="0DFD577B" w:rsidR="00FB62BA" w:rsidRPr="007F2B6C" w:rsidRDefault="00FB62BA" w:rsidP="00C724F8">
            <w:pPr>
              <w:pStyle w:val="TableParagraph"/>
              <w:ind w:left="567" w:right="567"/>
              <w:jc w:val="both"/>
              <w:rPr>
                <w:rFonts w:ascii="Arial Narrow" w:eastAsia="Calibri" w:hAnsi="Arial Narrow"/>
                <w:bCs/>
                <w:color w:val="000000" w:themeColor="text1"/>
                <w:lang w:val="es-CO"/>
              </w:rPr>
            </w:pPr>
          </w:p>
        </w:tc>
      </w:tr>
    </w:tbl>
    <w:p w14:paraId="288A71C8" w14:textId="28B89956" w:rsidR="00426303" w:rsidRPr="007F2B6C" w:rsidRDefault="00426303" w:rsidP="0096478A">
      <w:pPr>
        <w:tabs>
          <w:tab w:val="left" w:pos="3668"/>
        </w:tabs>
        <w:rPr>
          <w:rFonts w:ascii="Arial Narrow" w:hAnsi="Arial Narrow"/>
          <w:color w:val="FF0000"/>
          <w:lang w:val="es-CO"/>
        </w:rPr>
      </w:pPr>
    </w:p>
    <w:sectPr w:rsidR="00426303" w:rsidRPr="007F2B6C">
      <w:headerReference w:type="default" r:id="rId14"/>
      <w:footerReference w:type="defaul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5FC25" w14:textId="77777777" w:rsidR="00B4743D" w:rsidRDefault="00B4743D">
      <w:r>
        <w:separator/>
      </w:r>
    </w:p>
  </w:endnote>
  <w:endnote w:type="continuationSeparator" w:id="0">
    <w:p w14:paraId="7F68A840" w14:textId="77777777" w:rsidR="00B4743D" w:rsidRDefault="00B4743D">
      <w:r>
        <w:continuationSeparator/>
      </w:r>
    </w:p>
  </w:endnote>
  <w:endnote w:type="continuationNotice" w:id="1">
    <w:p w14:paraId="727810E2" w14:textId="77777777" w:rsidR="00B4743D" w:rsidRDefault="00B47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61DB" w14:textId="2E2741B1" w:rsidR="00B57043" w:rsidRDefault="00FC5646">
    <w:pPr>
      <w:pStyle w:val="Textoindependiente"/>
      <w:spacing w:before="0" w:line="14" w:lineRule="auto"/>
      <w:rPr>
        <w:b w:val="0"/>
        <w:sz w:val="20"/>
      </w:rPr>
    </w:pPr>
    <w:r w:rsidRPr="000E3478">
      <w:rPr>
        <w:rFonts w:ascii="Arial Narrow" w:hAnsi="Arial Narrow"/>
        <w:noProof/>
        <w:lang w:val="es-CO" w:eastAsia="es-CO" w:bidi="ar-SA"/>
      </w:rPr>
      <w:drawing>
        <wp:anchor distT="0" distB="0" distL="0" distR="0" simplePos="0" relativeHeight="251658243" behindDoc="0" locked="0" layoutInCell="1" allowOverlap="1" wp14:anchorId="6C6745A4" wp14:editId="7656D195">
          <wp:simplePos x="0" y="0"/>
          <wp:positionH relativeFrom="margin">
            <wp:posOffset>-613410</wp:posOffset>
          </wp:positionH>
          <wp:positionV relativeFrom="paragraph">
            <wp:posOffset>-12700</wp:posOffset>
          </wp:positionV>
          <wp:extent cx="6848475" cy="457200"/>
          <wp:effectExtent l="0" t="0" r="9525" b="0"/>
          <wp:wrapTopAndBottom/>
          <wp:docPr id="32512847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6848475" cy="457200"/>
                  </a:xfrm>
                  <a:prstGeom prst="rect">
                    <a:avLst/>
                  </a:prstGeom>
                </pic:spPr>
              </pic:pic>
            </a:graphicData>
          </a:graphic>
          <wp14:sizeRelH relativeFrom="margin">
            <wp14:pctWidth>0</wp14:pctWidth>
          </wp14:sizeRelH>
          <wp14:sizeRelV relativeFrom="margin">
            <wp14:pctHeight>0</wp14:pctHeight>
          </wp14:sizeRelV>
        </wp:anchor>
      </w:drawing>
    </w:r>
    <w:r w:rsidR="00B57043">
      <w:rPr>
        <w:noProof/>
        <w:lang w:val="es-CO" w:eastAsia="es-CO" w:bidi="ar-SA"/>
      </w:rPr>
      <mc:AlternateContent>
        <mc:Choice Requires="wps">
          <w:drawing>
            <wp:anchor distT="0" distB="0" distL="114300" distR="114300" simplePos="0" relativeHeight="251658242" behindDoc="1" locked="0" layoutInCell="1" allowOverlap="1" wp14:anchorId="3A2606E1" wp14:editId="089E45AA">
              <wp:simplePos x="0" y="0"/>
              <wp:positionH relativeFrom="rightMargin">
                <wp:align>left</wp:align>
              </wp:positionH>
              <wp:positionV relativeFrom="paragraph">
                <wp:posOffset>206375</wp:posOffset>
              </wp:positionV>
              <wp:extent cx="497840" cy="109855"/>
              <wp:effectExtent l="0" t="0" r="16510" b="444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7C202" w14:textId="77777777" w:rsidR="00B57043" w:rsidRDefault="00B57043">
                          <w:pPr>
                            <w:pStyle w:val="Textoindependiente"/>
                            <w:spacing w:before="15"/>
                            <w:ind w:left="20"/>
                          </w:pPr>
                          <w:r>
                            <w:t xml:space="preserve">Página </w:t>
                          </w:r>
                          <w:r>
                            <w:fldChar w:fldCharType="begin"/>
                          </w:r>
                          <w:r>
                            <w:instrText xml:space="preserve"> PAGE </w:instrText>
                          </w:r>
                          <w:r>
                            <w:fldChar w:fldCharType="separate"/>
                          </w:r>
                          <w:r w:rsidR="00365356">
                            <w:rPr>
                              <w:noProof/>
                            </w:rPr>
                            <w:t>14</w:t>
                          </w:r>
                          <w:r>
                            <w:fldChar w:fldCharType="end"/>
                          </w:r>
                          <w:r>
                            <w:t xml:space="preserve"> de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606E1" id="_x0000_t202" coordsize="21600,21600" o:spt="202" path="m,l,21600r21600,l21600,xe">
              <v:stroke joinstyle="miter"/>
              <v:path gradientshapeok="t" o:connecttype="rect"/>
            </v:shapetype>
            <v:shape id="Cuadro de texto 2" o:spid="_x0000_s1026" type="#_x0000_t202" style="position:absolute;margin-left:0;margin-top:16.25pt;width:39.2pt;height:8.65pt;z-index:-25165823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" filled="f" stroked="f">
              <v:textbox inset="0,0,0,0">
                <w:txbxContent>
                  <w:p w14:paraId="3CC7C202" w14:textId="77777777" w:rsidR="00B57043" w:rsidRDefault="00B57043">
                    <w:pPr>
                      <w:pStyle w:val="Textoindependiente"/>
                      <w:spacing w:before="15"/>
                      <w:ind w:left="20"/>
                    </w:pPr>
                    <w:r>
                      <w:t xml:space="preserve">Página </w:t>
                    </w:r>
                    <w:r>
                      <w:fldChar w:fldCharType="begin"/>
                    </w:r>
                    <w:r>
                      <w:instrText xml:space="preserve"> PAGE </w:instrText>
                    </w:r>
                    <w:r>
                      <w:fldChar w:fldCharType="separate"/>
                    </w:r>
                    <w:r w:rsidR="00365356">
                      <w:rPr>
                        <w:noProof/>
                      </w:rPr>
                      <w:t>14</w:t>
                    </w:r>
                    <w:r>
                      <w:fldChar w:fldCharType="end"/>
                    </w:r>
                    <w:r>
                      <w:t xml:space="preserve"> de 10</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E640" w14:textId="77777777" w:rsidR="00B4743D" w:rsidRDefault="00B4743D">
      <w:r>
        <w:separator/>
      </w:r>
    </w:p>
  </w:footnote>
  <w:footnote w:type="continuationSeparator" w:id="0">
    <w:p w14:paraId="3BCDC3BD" w14:textId="77777777" w:rsidR="00B4743D" w:rsidRDefault="00B4743D">
      <w:r>
        <w:continuationSeparator/>
      </w:r>
    </w:p>
  </w:footnote>
  <w:footnote w:type="continuationNotice" w:id="1">
    <w:p w14:paraId="6F30A208" w14:textId="77777777" w:rsidR="00B4743D" w:rsidRDefault="00B4743D"/>
  </w:footnote>
  <w:footnote w:id="2">
    <w:p w14:paraId="7F15C943" w14:textId="77777777" w:rsidR="00FB7C0D" w:rsidRPr="007665DE" w:rsidRDefault="00FB7C0D" w:rsidP="00432907">
      <w:pPr>
        <w:pStyle w:val="Textonotapie"/>
        <w:ind w:left="-284" w:right="-234"/>
        <w:jc w:val="both"/>
        <w:rPr>
          <w:rFonts w:asciiTheme="minorHAnsi" w:hAnsiTheme="minorHAnsi" w:cstheme="minorHAnsi"/>
          <w:sz w:val="14"/>
          <w:szCs w:val="14"/>
          <w:lang w:val="es-ES"/>
        </w:rPr>
      </w:pPr>
      <w:r w:rsidRPr="007665DE">
        <w:rPr>
          <w:rStyle w:val="Refdenotaalpie"/>
          <w:rFonts w:asciiTheme="minorHAnsi" w:hAnsiTheme="minorHAnsi" w:cstheme="minorHAnsi"/>
          <w:sz w:val="14"/>
          <w:szCs w:val="14"/>
        </w:rPr>
        <w:footnoteRef/>
      </w:r>
      <w:r w:rsidRPr="007665DE">
        <w:rPr>
          <w:rFonts w:asciiTheme="minorHAnsi" w:hAnsiTheme="minorHAnsi" w:cstheme="minorHAnsi"/>
          <w:i/>
          <w:iCs/>
          <w:sz w:val="14"/>
          <w:szCs w:val="14"/>
        </w:rPr>
        <w:t xml:space="preserve"> “Artículo 2.2.3.2.2.1.1. Objeto de la mediación. La mediación de la Agencia Nacional de Defensa Jurídica del Estado consiste en facilitar y procurar que las entidades públicas, de manera voluntaria, logren un acuerdo que ponga fin a los conflictos de carácter judicial o extrajudicial, actual o eventual, que puedan presentarse entre ellos.”</w:t>
      </w:r>
    </w:p>
  </w:footnote>
  <w:footnote w:id="3">
    <w:p w14:paraId="01D703C8"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sz w:val="14"/>
          <w:szCs w:val="14"/>
          <w:lang w:bidi="es-ES"/>
        </w:rPr>
        <w:t>"Por el cual se adiciona la Sección 4 al Capítulo 2 del Título 3 de la Parte 2 del Libro 2 del Decreto 1069 de 2015, Único Reglamentario del Sector Justicia y del Derecho, para reglamentar el Sistema de Defensa Jurídica del Estado, se modifica la Sección 1 del Capítulo 4 del Título 3 de la Parte 2 del Libro 2 de Decreto 1069 de 2015 y se dictan otras disposiciones"</w:t>
      </w:r>
    </w:p>
  </w:footnote>
  <w:footnote w:id="4">
    <w:p w14:paraId="30B8CDA0"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Por medio del cual se expide el Decreto Único Reglamentario del Sector Justicia y del Derecho.</w:t>
      </w:r>
    </w:p>
  </w:footnote>
  <w:footnote w:id="5">
    <w:p w14:paraId="3CB52EEC"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sz w:val="14"/>
          <w:szCs w:val="14"/>
          <w:lang w:bidi="es-ES"/>
        </w:rPr>
        <w:t>Lineamientos para la solución temprana de conflictos entre entidades públicas.</w:t>
      </w:r>
    </w:p>
  </w:footnote>
  <w:footnote w:id="6">
    <w:p w14:paraId="0DD5DC45"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color w:val="000000" w:themeColor="text1"/>
          <w:sz w:val="14"/>
          <w:szCs w:val="14"/>
        </w:rPr>
        <w:t>Por el cual se expide el Plan Nacional de Desarrollo 2022-2026 “Colombia Potencia Mundial de la Vida.</w:t>
      </w:r>
    </w:p>
  </w:footnote>
  <w:footnote w:id="7">
    <w:p w14:paraId="606FEFF2"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Magistrados Ponentes: Dr. Manuel José Cepeda Espinosa y Dr. Marco Gerardo Monroy Cabra</w:t>
      </w:r>
    </w:p>
  </w:footnote>
  <w:footnote w:id="8">
    <w:p w14:paraId="41550F8D" w14:textId="77777777" w:rsidR="00FB7C0D" w:rsidRPr="007665DE" w:rsidRDefault="00FB7C0D" w:rsidP="00432907">
      <w:pPr>
        <w:pStyle w:val="Textonotapie"/>
        <w:ind w:left="-284" w:right="-234"/>
        <w:jc w:val="both"/>
        <w:rPr>
          <w:rFonts w:asciiTheme="minorHAnsi" w:hAnsiTheme="minorHAnsi" w:cstheme="minorHAnsi"/>
          <w:sz w:val="14"/>
          <w:szCs w:val="14"/>
        </w:rPr>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w:t>
      </w:r>
      <w:r w:rsidRPr="007665DE">
        <w:rPr>
          <w:rFonts w:asciiTheme="minorHAnsi" w:hAnsiTheme="minorHAnsi" w:cstheme="minorHAnsi"/>
          <w:i/>
          <w:iCs/>
          <w:sz w:val="14"/>
          <w:szCs w:val="14"/>
        </w:rPr>
        <w:t>Artículo 233. Mediación. La mediación permite que el mediador escuche a las personas que se encuentran en situación de conflicto de convivencia y facilite un camino para encontrar una solución equitativa.”</w:t>
      </w:r>
    </w:p>
  </w:footnote>
  <w:footnote w:id="9">
    <w:p w14:paraId="774258A1" w14:textId="77777777" w:rsidR="00FB7C0D" w:rsidRDefault="00FB7C0D" w:rsidP="00432907">
      <w:pPr>
        <w:pStyle w:val="Textonotapie"/>
        <w:ind w:left="-284" w:right="-234"/>
        <w:jc w:val="both"/>
      </w:pPr>
      <w:r w:rsidRPr="007665DE">
        <w:rPr>
          <w:rStyle w:val="Refdenotaalpie"/>
          <w:rFonts w:asciiTheme="minorHAnsi" w:hAnsiTheme="minorHAnsi" w:cstheme="minorHAnsi"/>
          <w:sz w:val="14"/>
          <w:szCs w:val="14"/>
        </w:rPr>
        <w:footnoteRef/>
      </w:r>
      <w:r w:rsidRPr="007665DE">
        <w:rPr>
          <w:rFonts w:asciiTheme="minorHAnsi" w:hAnsiTheme="minorHAnsi" w:cstheme="minorHAnsi"/>
          <w:sz w:val="14"/>
          <w:szCs w:val="14"/>
        </w:rPr>
        <w:t xml:space="preserve"> P</w:t>
      </w:r>
      <w:r w:rsidRPr="007665DE">
        <w:rPr>
          <w:rFonts w:asciiTheme="minorHAnsi" w:hAnsiTheme="minorHAnsi" w:cstheme="minorHAnsi"/>
          <w:sz w:val="14"/>
          <w:szCs w:val="14"/>
          <w:lang w:bidi="es-ES"/>
        </w:rPr>
        <w:t>or medio de la cual se expide el Estatuto de Conciliación y se dictan otras disposiciones.</w:t>
      </w:r>
    </w:p>
  </w:footnote>
  <w:footnote w:id="10">
    <w:p w14:paraId="474F1279" w14:textId="77777777" w:rsidR="00FB7C0D" w:rsidRPr="00740A0A" w:rsidRDefault="00FB7C0D" w:rsidP="00432907">
      <w:pPr>
        <w:pStyle w:val="Textonotapie"/>
        <w:ind w:left="-284" w:right="-234"/>
        <w:jc w:val="both"/>
        <w:rPr>
          <w:rFonts w:asciiTheme="minorHAnsi" w:hAnsiTheme="minorHAnsi" w:cstheme="minorHAnsi"/>
          <w:sz w:val="14"/>
          <w:szCs w:val="14"/>
        </w:rPr>
      </w:pPr>
      <w:r w:rsidRPr="00740A0A">
        <w:rPr>
          <w:rStyle w:val="Refdenotaalpie"/>
          <w:rFonts w:asciiTheme="minorHAnsi" w:hAnsiTheme="minorHAnsi" w:cstheme="minorHAnsi"/>
          <w:sz w:val="14"/>
          <w:szCs w:val="14"/>
        </w:rPr>
        <w:footnoteRef/>
      </w:r>
      <w:r w:rsidRPr="00740A0A">
        <w:rPr>
          <w:rFonts w:asciiTheme="minorHAnsi" w:hAnsiTheme="minorHAnsi" w:cstheme="minorHAnsi"/>
          <w:sz w:val="14"/>
          <w:szCs w:val="14"/>
        </w:rPr>
        <w:t xml:space="preserve"> “</w:t>
      </w:r>
      <w:r w:rsidRPr="00740A0A">
        <w:rPr>
          <w:rFonts w:asciiTheme="minorHAnsi" w:hAnsiTheme="minorHAnsi" w:cstheme="minorHAnsi"/>
          <w:b/>
          <w:bCs/>
          <w:sz w:val="14"/>
          <w:szCs w:val="14"/>
          <w:lang w:bidi="es-ES"/>
        </w:rPr>
        <w:t>Artículo 2.2.3.2.2.1.2. </w:t>
      </w:r>
      <w:r w:rsidRPr="00740A0A">
        <w:rPr>
          <w:rFonts w:asciiTheme="minorHAnsi" w:hAnsiTheme="minorHAnsi" w:cstheme="minorHAnsi"/>
          <w:b/>
          <w:bCs/>
          <w:i/>
          <w:iCs/>
          <w:sz w:val="14"/>
          <w:szCs w:val="14"/>
          <w:lang w:bidi="es-ES"/>
        </w:rPr>
        <w:t>Potestad para el ejercicio de la mediación</w:t>
      </w:r>
      <w:r w:rsidRPr="00740A0A">
        <w:rPr>
          <w:rFonts w:asciiTheme="minorHAnsi" w:hAnsiTheme="minorHAnsi" w:cstheme="minorHAnsi"/>
          <w:b/>
          <w:bCs/>
          <w:sz w:val="14"/>
          <w:szCs w:val="14"/>
          <w:lang w:bidi="es-ES"/>
        </w:rPr>
        <w:t>.</w:t>
      </w:r>
      <w:r w:rsidRPr="00740A0A">
        <w:rPr>
          <w:rFonts w:asciiTheme="minorHAnsi" w:hAnsiTheme="minorHAnsi" w:cstheme="minorHAnsi"/>
          <w:sz w:val="14"/>
          <w:szCs w:val="14"/>
          <w:lang w:bidi="es-ES"/>
        </w:rPr>
        <w:t> La función de mediación será responsabilidad de la Dirección de Asesoría Legal de la Agencia Nacional de Defensa Jurídica del Estado, dependencia que administrará la Lista Única de Mediadores de que trata el artículo 2.2.3.2.2.2.1 de este decreto.”</w:t>
      </w:r>
    </w:p>
  </w:footnote>
  <w:footnote w:id="11">
    <w:p w14:paraId="3F847AB5" w14:textId="77777777" w:rsidR="00FB7C0D" w:rsidRPr="00740A0A" w:rsidRDefault="00FB7C0D" w:rsidP="00432907">
      <w:pPr>
        <w:pStyle w:val="Textonotapie"/>
        <w:ind w:left="-284" w:right="-234"/>
        <w:jc w:val="both"/>
        <w:rPr>
          <w:rFonts w:asciiTheme="minorHAnsi" w:hAnsiTheme="minorHAnsi" w:cstheme="minorHAnsi"/>
          <w:i/>
          <w:iCs/>
          <w:sz w:val="14"/>
          <w:szCs w:val="14"/>
        </w:rPr>
      </w:pPr>
      <w:r w:rsidRPr="00740A0A">
        <w:rPr>
          <w:rStyle w:val="Refdenotaalpie"/>
          <w:rFonts w:asciiTheme="minorHAnsi" w:hAnsiTheme="minorHAnsi" w:cstheme="minorHAnsi"/>
          <w:sz w:val="14"/>
          <w:szCs w:val="14"/>
        </w:rPr>
        <w:footnoteRef/>
      </w:r>
      <w:r w:rsidRPr="00740A0A">
        <w:rPr>
          <w:rFonts w:asciiTheme="minorHAnsi" w:hAnsiTheme="minorHAnsi" w:cstheme="minorHAnsi"/>
          <w:sz w:val="14"/>
          <w:szCs w:val="14"/>
        </w:rPr>
        <w:t xml:space="preserve"> </w:t>
      </w:r>
      <w:r w:rsidRPr="00740A0A">
        <w:rPr>
          <w:rFonts w:asciiTheme="minorHAnsi" w:hAnsiTheme="minorHAnsi" w:cstheme="minorHAnsi"/>
          <w:i/>
          <w:iCs/>
          <w:sz w:val="14"/>
          <w:szCs w:val="14"/>
        </w:rPr>
        <w:t>“</w:t>
      </w:r>
      <w:r w:rsidRPr="00740A0A">
        <w:rPr>
          <w:rFonts w:asciiTheme="minorHAnsi" w:hAnsiTheme="minorHAnsi" w:cstheme="minorHAnsi"/>
          <w:b/>
          <w:bCs/>
          <w:i/>
          <w:iCs/>
          <w:sz w:val="14"/>
          <w:szCs w:val="14"/>
        </w:rPr>
        <w:t>Artículo 117. Comités de Conciliación.</w:t>
      </w:r>
      <w:r w:rsidRPr="00740A0A">
        <w:rPr>
          <w:rFonts w:asciiTheme="minorHAnsi" w:hAnsiTheme="minorHAnsi" w:cstheme="minorHAnsi"/>
          <w:i/>
          <w:iCs/>
          <w:sz w:val="14"/>
          <w:szCs w:val="14"/>
        </w:rPr>
        <w:t> Los Comités de Conciliación son una instancia administrativa que actúa como sede de estudio, análisis y formulación de políticas sobre prevención del daño antijurídico y defensa de los intereses de la entidad.</w:t>
      </w:r>
    </w:p>
    <w:p w14:paraId="586447EC" w14:textId="77777777" w:rsidR="00FB7C0D" w:rsidRPr="007029E4" w:rsidRDefault="00FB7C0D" w:rsidP="00432907">
      <w:pPr>
        <w:pStyle w:val="Textonotapie"/>
        <w:ind w:left="-284" w:right="-234"/>
        <w:jc w:val="both"/>
        <w:rPr>
          <w:rFonts w:asciiTheme="minorHAnsi" w:hAnsiTheme="minorHAnsi" w:cstheme="minorHAnsi"/>
          <w:i/>
          <w:iCs/>
          <w:sz w:val="14"/>
          <w:szCs w:val="14"/>
        </w:rPr>
      </w:pPr>
      <w:r w:rsidRPr="007029E4">
        <w:rPr>
          <w:rFonts w:asciiTheme="minorHAnsi" w:hAnsiTheme="minorHAnsi" w:cstheme="minorHAnsi"/>
          <w:i/>
          <w:iCs/>
          <w:sz w:val="14"/>
          <w:szCs w:val="14"/>
        </w:rPr>
        <w:t>Igualmente decidirá, en cada caso específico, sobre la procedencia de la conciliación o cualquier otro medio alternativo de solución de conflictos, con sujeción estricta a las normas jurídicas sustantivas, procedimentales y de control vigentes, evitando lesionar el patrimonio público. Asimismo, tendrá en cuenta las sentencias de unificación proferidas por el Consejo de Estado y la jurisprudencia de las altas cortes en esta materia.</w:t>
      </w:r>
    </w:p>
    <w:p w14:paraId="1A27FE3B" w14:textId="77777777" w:rsidR="00FB7C0D" w:rsidRPr="00740A0A" w:rsidRDefault="00FB7C0D" w:rsidP="00432907">
      <w:pPr>
        <w:pStyle w:val="Textonotapie"/>
        <w:ind w:left="-284" w:right="-234"/>
        <w:jc w:val="both"/>
        <w:rPr>
          <w:rFonts w:asciiTheme="minorHAnsi" w:hAnsiTheme="minorHAnsi" w:cstheme="minorHAnsi"/>
          <w:i/>
          <w:iCs/>
          <w:sz w:val="14"/>
          <w:szCs w:val="14"/>
        </w:rPr>
      </w:pPr>
      <w:r w:rsidRPr="007029E4">
        <w:rPr>
          <w:rFonts w:asciiTheme="minorHAnsi" w:hAnsiTheme="minorHAnsi" w:cstheme="minorHAnsi"/>
          <w:i/>
          <w:iCs/>
          <w:sz w:val="14"/>
          <w:szCs w:val="14"/>
        </w:rPr>
        <w:t>La decisión de conciliar tomada en los términos anteriores, por sí sola, no dará lugar a investigaciones disciplinarias, ni fiscales, ni al ejercicio de acciones de repetición contra los miembros del Comité.</w:t>
      </w:r>
      <w:r w:rsidRPr="00740A0A">
        <w:rPr>
          <w:rFonts w:asciiTheme="minorHAnsi" w:hAnsiTheme="minorHAnsi" w:cstheme="minorHAnsi"/>
          <w:i/>
          <w:iCs/>
          <w:sz w:val="14"/>
          <w:szCs w:val="14"/>
        </w:rPr>
        <w:t>”</w:t>
      </w:r>
    </w:p>
  </w:footnote>
  <w:footnote w:id="12">
    <w:p w14:paraId="0B50DA94" w14:textId="77777777" w:rsidR="00FB7C0D" w:rsidRPr="00740A0A" w:rsidRDefault="00FB7C0D" w:rsidP="00432907">
      <w:pPr>
        <w:pStyle w:val="Textonotapie"/>
        <w:ind w:left="-284" w:right="-234"/>
        <w:jc w:val="both"/>
        <w:rPr>
          <w:rFonts w:asciiTheme="minorHAnsi" w:hAnsiTheme="minorHAnsi" w:cstheme="minorHAnsi"/>
          <w:i/>
          <w:iCs/>
          <w:sz w:val="14"/>
          <w:szCs w:val="14"/>
        </w:rPr>
      </w:pPr>
      <w:r w:rsidRPr="00740A0A">
        <w:rPr>
          <w:rStyle w:val="Refdenotaalpie"/>
          <w:rFonts w:asciiTheme="minorHAnsi" w:hAnsiTheme="minorHAnsi" w:cstheme="minorHAnsi"/>
          <w:sz w:val="14"/>
          <w:szCs w:val="14"/>
        </w:rPr>
        <w:footnoteRef/>
      </w:r>
      <w:r>
        <w:rPr>
          <w:rFonts w:asciiTheme="minorHAnsi" w:hAnsiTheme="minorHAnsi" w:cstheme="minorHAnsi"/>
          <w:i/>
          <w:iCs/>
          <w:sz w:val="14"/>
          <w:szCs w:val="14"/>
        </w:rPr>
        <w:t>“</w:t>
      </w:r>
      <w:r w:rsidRPr="00740A0A">
        <w:rPr>
          <w:rFonts w:asciiTheme="minorHAnsi" w:hAnsiTheme="minorHAnsi" w:cstheme="minorHAnsi"/>
          <w:i/>
          <w:iCs/>
          <w:sz w:val="14"/>
          <w:szCs w:val="14"/>
        </w:rPr>
        <w:t xml:space="preserve">Artículo 120. Funciones. El Comité de Conciliación ejercerá las siguientes funciones: </w:t>
      </w:r>
      <w:r>
        <w:rPr>
          <w:rFonts w:asciiTheme="minorHAnsi" w:hAnsiTheme="minorHAnsi" w:cstheme="minorHAnsi"/>
          <w:i/>
          <w:iCs/>
          <w:sz w:val="14"/>
          <w:szCs w:val="14"/>
        </w:rPr>
        <w:t>(…)</w:t>
      </w:r>
    </w:p>
    <w:p w14:paraId="37DE1BA2" w14:textId="77777777" w:rsidR="00FB7C0D" w:rsidRPr="0076126C" w:rsidRDefault="00FB7C0D" w:rsidP="00432907">
      <w:pPr>
        <w:pStyle w:val="Textonotapie"/>
        <w:ind w:left="-284" w:right="-234"/>
        <w:jc w:val="both"/>
        <w:rPr>
          <w:rFonts w:asciiTheme="minorHAnsi" w:hAnsiTheme="minorHAnsi" w:cstheme="minorHAnsi"/>
          <w:i/>
          <w:iCs/>
          <w:sz w:val="14"/>
          <w:szCs w:val="14"/>
        </w:rPr>
      </w:pPr>
      <w:r w:rsidRPr="0076126C">
        <w:rPr>
          <w:rFonts w:asciiTheme="minorHAnsi" w:hAnsiTheme="minorHAnsi" w:cstheme="minorHAnsi"/>
          <w:i/>
          <w:iCs/>
          <w:sz w:val="14"/>
          <w:szCs w:val="14"/>
        </w:rPr>
        <w:t>12. Autorizar que los conflictos suscitados entre entidades y organismos del orden nacional sean sometidos al trámite de la mediación ante la Agencia Nacional de Defensa Jurídica del Estado o ante la Procuraduría General de la Nación. En el caso de entidades del orden territorial la autorización de mediación podrá realizarse ante la Procuraduría General de la Nación. (…)”</w:t>
      </w:r>
      <w:r w:rsidRPr="0076126C">
        <w:rPr>
          <w:rFonts w:asciiTheme="minorHAnsi" w:hAnsiTheme="minorHAnsi" w:cstheme="minorHAnsi"/>
          <w:sz w:val="14"/>
          <w:szCs w:val="14"/>
        </w:rPr>
        <w:t xml:space="preserve">  </w:t>
      </w:r>
    </w:p>
  </w:footnote>
  <w:footnote w:id="13">
    <w:p w14:paraId="5ED6F4B6" w14:textId="77777777" w:rsidR="00FB7C0D" w:rsidRPr="0076126C" w:rsidRDefault="00FB7C0D" w:rsidP="00432907">
      <w:pPr>
        <w:pStyle w:val="Textonotapie"/>
        <w:ind w:left="-284" w:right="-234"/>
        <w:jc w:val="both"/>
        <w:rPr>
          <w:rFonts w:asciiTheme="minorHAnsi" w:hAnsiTheme="minorHAnsi" w:cstheme="minorHAnsi"/>
          <w:i/>
          <w:iCs/>
          <w:sz w:val="14"/>
          <w:szCs w:val="14"/>
        </w:rPr>
      </w:pPr>
      <w:r w:rsidRPr="0076126C">
        <w:rPr>
          <w:rStyle w:val="Refdenotaalpie"/>
          <w:rFonts w:asciiTheme="minorHAnsi" w:hAnsiTheme="minorHAnsi" w:cstheme="minorHAnsi"/>
          <w:sz w:val="14"/>
          <w:szCs w:val="14"/>
        </w:rPr>
        <w:footnoteRef/>
      </w:r>
      <w:r w:rsidRPr="0076126C">
        <w:rPr>
          <w:rFonts w:asciiTheme="minorHAnsi" w:hAnsiTheme="minorHAnsi" w:cstheme="minorHAnsi"/>
          <w:sz w:val="14"/>
          <w:szCs w:val="14"/>
        </w:rPr>
        <w:t xml:space="preserve"> </w:t>
      </w:r>
      <w:r>
        <w:rPr>
          <w:rFonts w:asciiTheme="minorHAnsi" w:hAnsiTheme="minorHAnsi" w:cstheme="minorHAnsi"/>
          <w:sz w:val="14"/>
          <w:szCs w:val="14"/>
        </w:rPr>
        <w:t>“</w:t>
      </w:r>
      <w:r w:rsidRPr="0076126C">
        <w:rPr>
          <w:rFonts w:asciiTheme="minorHAnsi" w:hAnsiTheme="minorHAnsi" w:cstheme="minorHAnsi"/>
          <w:b/>
          <w:bCs/>
          <w:i/>
          <w:iCs/>
          <w:sz w:val="14"/>
          <w:szCs w:val="14"/>
        </w:rPr>
        <w:t>Artículo 2.2.3.2.2.1.3. Resultado de la mediación.</w:t>
      </w:r>
      <w:r w:rsidRPr="0076126C">
        <w:rPr>
          <w:rFonts w:asciiTheme="minorHAnsi" w:hAnsiTheme="minorHAnsi" w:cstheme="minorHAnsi"/>
          <w:i/>
          <w:iCs/>
          <w:sz w:val="14"/>
          <w:szCs w:val="14"/>
        </w:rPr>
        <w:t> La solución del conflicto sometido a la mediación de la Agencia Nacional de Defensa Jurídica del Estado, se concretará a través de cualquier acto o negocio jurídico que la posibilite, de acuerdo con la legislación nacional vigente.</w:t>
      </w:r>
    </w:p>
    <w:p w14:paraId="7776C24E" w14:textId="77777777" w:rsidR="00FB7C0D" w:rsidRPr="0076126C" w:rsidRDefault="00FB7C0D" w:rsidP="00432907">
      <w:pPr>
        <w:pStyle w:val="Textonotapie"/>
        <w:ind w:left="-284" w:right="-234"/>
        <w:jc w:val="both"/>
        <w:rPr>
          <w:rFonts w:asciiTheme="minorHAnsi" w:hAnsiTheme="minorHAnsi" w:cstheme="minorHAnsi"/>
          <w:i/>
          <w:iCs/>
          <w:sz w:val="14"/>
          <w:szCs w:val="14"/>
        </w:rPr>
      </w:pPr>
      <w:r w:rsidRPr="0076126C">
        <w:rPr>
          <w:rFonts w:asciiTheme="minorHAnsi" w:hAnsiTheme="minorHAnsi" w:cstheme="minorHAnsi"/>
          <w:i/>
          <w:iCs/>
          <w:sz w:val="14"/>
          <w:szCs w:val="14"/>
        </w:rPr>
        <w:t>La solución que se adopte deberá indicar con claridad las circunstancias de tiempo, modo y lugar para el cumplimiento de las obligaciones contraídas por las partes.</w:t>
      </w:r>
    </w:p>
    <w:p w14:paraId="22092286" w14:textId="77777777" w:rsidR="00FB7C0D" w:rsidRPr="0076126C" w:rsidRDefault="00FB7C0D" w:rsidP="00432907">
      <w:pPr>
        <w:pStyle w:val="Textonotapie"/>
        <w:ind w:left="-284" w:right="-234"/>
        <w:jc w:val="both"/>
        <w:rPr>
          <w:rFonts w:asciiTheme="minorHAnsi" w:hAnsiTheme="minorHAnsi" w:cstheme="minorHAnsi"/>
          <w:i/>
          <w:iCs/>
          <w:sz w:val="14"/>
          <w:szCs w:val="14"/>
        </w:rPr>
      </w:pPr>
      <w:r w:rsidRPr="0076126C">
        <w:rPr>
          <w:rFonts w:asciiTheme="minorHAnsi" w:hAnsiTheme="minorHAnsi" w:cstheme="minorHAnsi"/>
          <w:i/>
          <w:iCs/>
          <w:sz w:val="14"/>
          <w:szCs w:val="14"/>
        </w:rPr>
        <w:t>Las entidades que acudan a la Agencia Nacional de Defensa Jurídica del Estado, se comprometerán a cumplir con lo acordado en la mediación y su inobservancia generará las consecuencias propias de incumplir el acto o negocio jurídico que se haya convenido para solucionar el conflicto.</w:t>
      </w:r>
      <w:r>
        <w:rPr>
          <w:rFonts w:asciiTheme="minorHAnsi" w:hAnsiTheme="minorHAnsi" w:cstheme="minorHAnsi"/>
          <w:i/>
          <w:iCs/>
          <w:sz w:val="14"/>
          <w:szCs w:val="14"/>
        </w:rPr>
        <w:t>”</w:t>
      </w:r>
    </w:p>
    <w:p w14:paraId="537E2FA4" w14:textId="77777777" w:rsidR="00FB7C0D" w:rsidRDefault="00FB7C0D" w:rsidP="00FB7C0D">
      <w:pPr>
        <w:pStyle w:val="Textonotapie"/>
      </w:pPr>
    </w:p>
  </w:footnote>
  <w:footnote w:id="14">
    <w:p w14:paraId="2AF692ED" w14:textId="77777777" w:rsidR="00FB7C0D" w:rsidRPr="00423290" w:rsidRDefault="00FB7C0D" w:rsidP="00A45DE0">
      <w:pPr>
        <w:pStyle w:val="Textonotapie"/>
        <w:ind w:left="-567" w:right="-376"/>
        <w:jc w:val="both"/>
        <w:rPr>
          <w:rFonts w:asciiTheme="minorHAnsi" w:hAnsiTheme="minorHAnsi" w:cstheme="minorHAnsi"/>
          <w:sz w:val="14"/>
          <w:szCs w:val="14"/>
        </w:rPr>
      </w:pPr>
      <w:r w:rsidRPr="00423290">
        <w:rPr>
          <w:rStyle w:val="Refdenotaalpie"/>
          <w:rFonts w:asciiTheme="minorHAnsi" w:hAnsiTheme="minorHAnsi" w:cstheme="minorHAnsi"/>
          <w:sz w:val="14"/>
          <w:szCs w:val="14"/>
        </w:rPr>
        <w:footnoteRef/>
      </w:r>
      <w:r w:rsidRPr="00423290">
        <w:rPr>
          <w:rFonts w:asciiTheme="minorHAnsi" w:hAnsiTheme="minorHAnsi" w:cstheme="minorHAnsi"/>
          <w:sz w:val="14"/>
          <w:szCs w:val="14"/>
        </w:rPr>
        <w:t xml:space="preserve"> </w:t>
      </w:r>
      <w:r w:rsidRPr="00423290">
        <w:rPr>
          <w:rFonts w:asciiTheme="minorHAnsi" w:hAnsiTheme="minorHAnsi" w:cstheme="minorHAnsi"/>
          <w:i/>
          <w:iCs/>
          <w:sz w:val="14"/>
          <w:szCs w:val="14"/>
        </w:rPr>
        <w:t>“</w:t>
      </w:r>
      <w:r w:rsidRPr="00423290">
        <w:rPr>
          <w:rFonts w:asciiTheme="minorHAnsi" w:hAnsiTheme="minorHAnsi" w:cstheme="minorHAnsi"/>
          <w:b/>
          <w:bCs/>
          <w:i/>
          <w:iCs/>
          <w:sz w:val="14"/>
          <w:szCs w:val="14"/>
          <w:lang w:bidi="es-ES"/>
        </w:rPr>
        <w:t>Artículo 2.2.3.2.2.1.5. Confidencialidad.</w:t>
      </w:r>
      <w:r w:rsidRPr="00423290">
        <w:rPr>
          <w:rFonts w:asciiTheme="minorHAnsi" w:hAnsiTheme="minorHAnsi" w:cstheme="minorHAnsi"/>
          <w:i/>
          <w:iCs/>
          <w:sz w:val="14"/>
          <w:szCs w:val="14"/>
          <w:lang w:bidi="es-ES"/>
        </w:rPr>
        <w:t> Sin perjuicio de la publicidad y acceso a los documentos públicos, de conformidad con lo dispuesto en el artículo 18 de la Ley 1712 de 2014, todos los participantes en el trámite de mediación respetarán el carácter confidencial del conflicto y, por lo tanto, no registrarán ni divulgarán las discusiones, opiniones, propuestas de acuerdo y manifestaciones realizadas dentro de las sesiones de mediación, salvo expresa disposición contraria de las partes.”</w:t>
      </w:r>
    </w:p>
  </w:footnote>
  <w:footnote w:id="15">
    <w:p w14:paraId="506F5A99" w14:textId="77777777" w:rsidR="00FB7C0D" w:rsidRPr="00423290" w:rsidRDefault="00FB7C0D" w:rsidP="00A45DE0">
      <w:pPr>
        <w:pStyle w:val="Textonotapie"/>
        <w:ind w:left="-567" w:right="-376"/>
        <w:jc w:val="both"/>
        <w:rPr>
          <w:rFonts w:asciiTheme="minorHAnsi" w:hAnsiTheme="minorHAnsi" w:cstheme="minorHAnsi"/>
          <w:sz w:val="14"/>
          <w:szCs w:val="14"/>
        </w:rPr>
      </w:pPr>
      <w:r w:rsidRPr="00423290">
        <w:rPr>
          <w:rStyle w:val="Refdenotaalpie"/>
          <w:rFonts w:asciiTheme="minorHAnsi" w:hAnsiTheme="minorHAnsi" w:cstheme="minorHAnsi"/>
          <w:sz w:val="14"/>
          <w:szCs w:val="14"/>
        </w:rPr>
        <w:footnoteRef/>
      </w:r>
      <w:r w:rsidRPr="00423290">
        <w:rPr>
          <w:rFonts w:asciiTheme="minorHAnsi" w:hAnsiTheme="minorHAnsi" w:cstheme="minorHAnsi"/>
          <w:sz w:val="14"/>
          <w:szCs w:val="14"/>
        </w:rPr>
        <w:t xml:space="preserve"> </w:t>
      </w:r>
      <w:r>
        <w:rPr>
          <w:rFonts w:asciiTheme="minorHAnsi" w:hAnsiTheme="minorHAnsi" w:cstheme="minorHAnsi"/>
          <w:sz w:val="14"/>
          <w:szCs w:val="14"/>
        </w:rPr>
        <w:t>“</w:t>
      </w:r>
      <w:r w:rsidRPr="00423290">
        <w:rPr>
          <w:rFonts w:asciiTheme="minorHAnsi" w:hAnsiTheme="minorHAnsi" w:cstheme="minorHAnsi"/>
          <w:b/>
          <w:bCs/>
          <w:i/>
          <w:iCs/>
          <w:sz w:val="14"/>
          <w:szCs w:val="14"/>
          <w:lang w:bidi="es-ES"/>
        </w:rPr>
        <w:t>Artículo 2.2.3.2.2.2.3.1. Seguimiento</w:t>
      </w:r>
      <w:r w:rsidRPr="00423290">
        <w:rPr>
          <w:rFonts w:asciiTheme="minorHAnsi" w:hAnsiTheme="minorHAnsi" w:cstheme="minorHAnsi"/>
          <w:i/>
          <w:iCs/>
          <w:sz w:val="14"/>
          <w:szCs w:val="14"/>
          <w:lang w:bidi="es-ES"/>
        </w:rPr>
        <w:t>. La Dirección de Defensa Jurídica de la Agencia Nacional de Defensa Jurídica del Estado realizará acompañamiento permanente a la mediación y seguimiento al cumplimiento de los acuerdos alcanzados a través de esta por las entidades y organismos del orden nacional. Así mismo, las entidades y organismos deberán impulsar las gestiones administrativas o judiciales requeridas para dar cumplimiento a lo acordado y enviar informes oportunos a la Agencia Nacional de Defensa Jurídica del Estado para el seguimiento que corresponda.”</w:t>
      </w:r>
    </w:p>
  </w:footnote>
  <w:footnote w:id="16">
    <w:p w14:paraId="5AF38AE1" w14:textId="77777777" w:rsidR="00FB7C0D" w:rsidRPr="00B732D0" w:rsidRDefault="00FB7C0D" w:rsidP="00A45DE0">
      <w:pPr>
        <w:pStyle w:val="Textonotapie"/>
        <w:ind w:left="-567" w:right="-376"/>
        <w:jc w:val="both"/>
        <w:rPr>
          <w:rFonts w:asciiTheme="minorHAnsi" w:hAnsiTheme="minorHAnsi" w:cstheme="minorHAnsi"/>
          <w:sz w:val="14"/>
          <w:szCs w:val="14"/>
        </w:rPr>
      </w:pPr>
      <w:r w:rsidRPr="009F6BE8">
        <w:rPr>
          <w:rStyle w:val="Refdenotaalpie"/>
          <w:rFonts w:asciiTheme="minorHAnsi" w:hAnsiTheme="minorHAnsi" w:cstheme="minorHAnsi"/>
          <w:sz w:val="14"/>
          <w:szCs w:val="14"/>
        </w:rPr>
        <w:footnoteRef/>
      </w:r>
      <w:r w:rsidRPr="009F6BE8">
        <w:rPr>
          <w:rFonts w:asciiTheme="minorHAnsi" w:hAnsiTheme="minorHAnsi" w:cstheme="minorHAnsi"/>
          <w:sz w:val="14"/>
          <w:szCs w:val="14"/>
        </w:rPr>
        <w:t xml:space="preserve"> </w:t>
      </w:r>
      <w:r w:rsidRPr="009F6BE8">
        <w:rPr>
          <w:rFonts w:asciiTheme="minorHAnsi" w:hAnsiTheme="minorHAnsi" w:cstheme="minorHAnsi"/>
          <w:sz w:val="14"/>
          <w:szCs w:val="14"/>
          <w:lang w:bidi="es-ES"/>
        </w:rPr>
        <w:t>Por el cual se modifica la denominación del Capítulo 2 del Título 3 de la Parte 2 del Libro 2 del </w:t>
      </w:r>
      <w:hyperlink r:id="rId1" w:anchor="0" w:history="1">
        <w:r w:rsidRPr="009F6BE8">
          <w:rPr>
            <w:rStyle w:val="Hipervnculo"/>
            <w:rFonts w:asciiTheme="minorHAnsi" w:hAnsiTheme="minorHAnsi" w:cstheme="minorHAnsi"/>
            <w:color w:val="auto"/>
            <w:sz w:val="14"/>
            <w:szCs w:val="14"/>
            <w:u w:val="none"/>
            <w:lang w:bidi="es-ES"/>
          </w:rPr>
          <w:t>Decreto 1069 de 2015</w:t>
        </w:r>
      </w:hyperlink>
      <w:r w:rsidRPr="009F6BE8">
        <w:rPr>
          <w:rFonts w:asciiTheme="minorHAnsi" w:hAnsiTheme="minorHAnsi" w:cstheme="minorHAnsi"/>
          <w:sz w:val="14"/>
          <w:szCs w:val="14"/>
          <w:lang w:bidi="es-ES"/>
        </w:rPr>
        <w:t xml:space="preserve">, Único Reglamentario del Sector </w:t>
      </w:r>
      <w:r w:rsidRPr="00B732D0">
        <w:rPr>
          <w:rFonts w:asciiTheme="minorHAnsi" w:hAnsiTheme="minorHAnsi" w:cstheme="minorHAnsi"/>
          <w:sz w:val="14"/>
          <w:szCs w:val="14"/>
          <w:lang w:bidi="es-ES"/>
        </w:rPr>
        <w:t>Justicia y del Derecho, se crea una sección en el mismo y se adiciona otra.</w:t>
      </w:r>
    </w:p>
  </w:footnote>
  <w:footnote w:id="17">
    <w:p w14:paraId="4C23B7C6" w14:textId="77777777" w:rsidR="00FB7C0D" w:rsidRPr="00B732D0" w:rsidRDefault="00FB7C0D" w:rsidP="00A45DE0">
      <w:pPr>
        <w:pStyle w:val="Textonotapie"/>
        <w:ind w:left="-567" w:right="-376"/>
        <w:jc w:val="both"/>
        <w:rPr>
          <w:rFonts w:asciiTheme="minorHAnsi" w:hAnsiTheme="minorHAnsi" w:cstheme="minorHAnsi"/>
          <w:i/>
          <w:iCs/>
          <w:sz w:val="14"/>
          <w:szCs w:val="14"/>
        </w:rPr>
      </w:pPr>
      <w:r w:rsidRPr="00B732D0">
        <w:rPr>
          <w:rStyle w:val="Refdenotaalpie"/>
          <w:rFonts w:asciiTheme="minorHAnsi" w:hAnsiTheme="minorHAnsi" w:cstheme="minorHAnsi"/>
          <w:sz w:val="14"/>
          <w:szCs w:val="14"/>
        </w:rPr>
        <w:footnoteRef/>
      </w:r>
      <w:r w:rsidRPr="00B732D0">
        <w:rPr>
          <w:rFonts w:asciiTheme="minorHAnsi" w:hAnsiTheme="minorHAnsi" w:cstheme="minorHAnsi"/>
          <w:sz w:val="14"/>
          <w:szCs w:val="14"/>
        </w:rPr>
        <w:t xml:space="preserve"> “</w:t>
      </w:r>
      <w:r w:rsidRPr="00B732D0">
        <w:rPr>
          <w:rFonts w:asciiTheme="minorHAnsi" w:hAnsiTheme="minorHAnsi" w:cstheme="minorHAnsi"/>
          <w:i/>
          <w:iCs/>
          <w:sz w:val="14"/>
          <w:szCs w:val="14"/>
        </w:rPr>
        <w:t xml:space="preserve">Artículo 2.2.3.2.2.2.3.3. Terminación de la mediación. La mediación concluirá:  </w:t>
      </w:r>
    </w:p>
    <w:p w14:paraId="114DFF33" w14:textId="77777777" w:rsidR="00FB7C0D" w:rsidRPr="00B732D0" w:rsidRDefault="00FB7C0D" w:rsidP="00A45DE0">
      <w:pPr>
        <w:pStyle w:val="Textonotapie"/>
        <w:ind w:left="-567" w:right="-376"/>
        <w:jc w:val="both"/>
        <w:rPr>
          <w:rFonts w:asciiTheme="minorHAnsi" w:hAnsiTheme="minorHAnsi" w:cstheme="minorHAnsi"/>
          <w:i/>
          <w:iCs/>
          <w:sz w:val="14"/>
          <w:szCs w:val="14"/>
        </w:rPr>
      </w:pPr>
      <w:r w:rsidRPr="00B732D0">
        <w:rPr>
          <w:rFonts w:asciiTheme="minorHAnsi" w:hAnsiTheme="minorHAnsi" w:cstheme="minorHAnsi"/>
          <w:i/>
          <w:iCs/>
          <w:sz w:val="14"/>
          <w:szCs w:val="14"/>
        </w:rPr>
        <w:t xml:space="preserve">1. Cuando las partes lleguen a una solución que ponga fin a una o todas las cuestiones en controversia.  </w:t>
      </w:r>
    </w:p>
    <w:p w14:paraId="7843F9F3" w14:textId="77777777" w:rsidR="00FB7C0D" w:rsidRPr="00B732D0" w:rsidRDefault="00FB7C0D" w:rsidP="00A45DE0">
      <w:pPr>
        <w:pStyle w:val="Textonotapie"/>
        <w:ind w:left="-567" w:right="-376"/>
        <w:jc w:val="both"/>
        <w:rPr>
          <w:rFonts w:asciiTheme="minorHAnsi" w:hAnsiTheme="minorHAnsi" w:cstheme="minorHAnsi"/>
          <w:i/>
          <w:iCs/>
          <w:sz w:val="14"/>
          <w:szCs w:val="14"/>
        </w:rPr>
      </w:pPr>
      <w:r w:rsidRPr="00B732D0">
        <w:rPr>
          <w:rFonts w:asciiTheme="minorHAnsi" w:hAnsiTheme="minorHAnsi" w:cstheme="minorHAnsi"/>
          <w:i/>
          <w:iCs/>
          <w:sz w:val="14"/>
          <w:szCs w:val="14"/>
        </w:rPr>
        <w:t xml:space="preserve">2. Por iniciativa del mediador si, a su juicio y de manera justificada, si este estima de manera razonada que extender la mediación tiene pocas posibilidades de resolver el conflicto y las entidades involucradas están de acuerdo con esta evaluación. </w:t>
      </w:r>
    </w:p>
    <w:p w14:paraId="62D8E8D8" w14:textId="77777777" w:rsidR="00FB7C0D" w:rsidRDefault="00FB7C0D" w:rsidP="00A45DE0">
      <w:pPr>
        <w:pStyle w:val="Textonotapie"/>
        <w:ind w:left="-567" w:right="-376"/>
        <w:jc w:val="both"/>
      </w:pPr>
      <w:r w:rsidRPr="00B732D0">
        <w:rPr>
          <w:rFonts w:asciiTheme="minorHAnsi" w:hAnsiTheme="minorHAnsi" w:cstheme="minorHAnsi"/>
          <w:i/>
          <w:iCs/>
          <w:sz w:val="14"/>
          <w:szCs w:val="14"/>
        </w:rPr>
        <w:t>3. Por manifestación escrita conjunta o de una de las partes, en cualquier momento después de la primera sesión del trámite de mediación y antes de la firma de cualquier fórmula de arreglo que ponga fin a una o todas las cuestiones en controversia.</w:t>
      </w:r>
      <w:r w:rsidRPr="00B732D0">
        <w:rPr>
          <w:rFonts w:asciiTheme="minorHAnsi" w:hAnsiTheme="minorHAnsi" w:cstheme="minorHAnsi"/>
          <w:sz w:val="14"/>
          <w:szCs w:val="14"/>
        </w:rPr>
        <w:t>”</w:t>
      </w:r>
    </w:p>
  </w:footnote>
  <w:footnote w:id="18">
    <w:p w14:paraId="3D1EA0E2" w14:textId="473CDAFA" w:rsidR="006D6E05" w:rsidRPr="00CA62B3" w:rsidRDefault="006D6E05">
      <w:pPr>
        <w:pStyle w:val="Textonotapie"/>
        <w:rPr>
          <w:rFonts w:asciiTheme="minorHAnsi" w:hAnsiTheme="minorHAnsi" w:cstheme="minorHAnsi"/>
          <w:sz w:val="14"/>
          <w:szCs w:val="14"/>
        </w:rPr>
      </w:pPr>
      <w:r w:rsidRPr="00CA62B3">
        <w:rPr>
          <w:rStyle w:val="Refdenotaalpie"/>
          <w:rFonts w:asciiTheme="minorHAnsi" w:hAnsiTheme="minorHAnsi" w:cstheme="minorHAnsi"/>
          <w:sz w:val="14"/>
          <w:szCs w:val="14"/>
        </w:rPr>
        <w:footnoteRef/>
      </w:r>
      <w:r w:rsidRPr="00CA62B3">
        <w:rPr>
          <w:rFonts w:asciiTheme="minorHAnsi" w:hAnsiTheme="minorHAnsi" w:cstheme="minorHAnsi"/>
          <w:sz w:val="14"/>
          <w:szCs w:val="14"/>
        </w:rPr>
        <w:t xml:space="preserve"> </w:t>
      </w:r>
      <w:r w:rsidR="00CA62B3">
        <w:rPr>
          <w:rFonts w:asciiTheme="minorHAnsi" w:hAnsiTheme="minorHAnsi" w:cstheme="minorHAnsi"/>
          <w:sz w:val="14"/>
          <w:szCs w:val="14"/>
          <w:lang w:bidi="es-ES"/>
        </w:rPr>
        <w:t>P</w:t>
      </w:r>
      <w:r w:rsidR="00CA62B3" w:rsidRPr="00CA62B3">
        <w:rPr>
          <w:rFonts w:asciiTheme="minorHAnsi" w:hAnsiTheme="minorHAnsi" w:cstheme="minorHAnsi"/>
          <w:sz w:val="14"/>
          <w:szCs w:val="14"/>
          <w:lang w:bidi="es-ES"/>
        </w:rPr>
        <w:t>or medio de la cual se expide el estatuto de conciliación y se dictan otras disposiciones</w:t>
      </w:r>
    </w:p>
  </w:footnote>
  <w:footnote w:id="19">
    <w:p w14:paraId="3AFFA8EC" w14:textId="77777777" w:rsidR="00301E50" w:rsidRPr="00C039DF" w:rsidRDefault="00301E50" w:rsidP="00C039DF">
      <w:pPr>
        <w:pStyle w:val="Textonotapie"/>
        <w:ind w:left="-142" w:right="-376"/>
        <w:jc w:val="both"/>
        <w:rPr>
          <w:rFonts w:asciiTheme="minorHAnsi" w:hAnsiTheme="minorHAnsi" w:cstheme="minorHAnsi"/>
          <w:sz w:val="14"/>
          <w:szCs w:val="14"/>
          <w:lang w:val="es-MX"/>
        </w:rPr>
      </w:pPr>
      <w:r w:rsidRPr="00C039DF">
        <w:rPr>
          <w:rStyle w:val="Refdenotaalpie"/>
          <w:rFonts w:asciiTheme="minorHAnsi" w:hAnsiTheme="minorHAnsi" w:cstheme="minorHAnsi"/>
          <w:sz w:val="14"/>
          <w:szCs w:val="14"/>
        </w:rPr>
        <w:footnoteRef/>
      </w:r>
      <w:r w:rsidRPr="00C039DF">
        <w:rPr>
          <w:rFonts w:asciiTheme="minorHAnsi" w:hAnsiTheme="minorHAnsi" w:cstheme="minorHAnsi"/>
          <w:sz w:val="14"/>
          <w:szCs w:val="14"/>
        </w:rPr>
        <w:t xml:space="preserve"> </w:t>
      </w:r>
      <w:r w:rsidRPr="00C039DF">
        <w:rPr>
          <w:rFonts w:asciiTheme="minorHAnsi" w:hAnsiTheme="minorHAnsi" w:cstheme="minorHAnsi"/>
          <w:sz w:val="14"/>
          <w:szCs w:val="14"/>
          <w:lang w:val="es-MX"/>
        </w:rPr>
        <w:t xml:space="preserve">Consejo de </w:t>
      </w:r>
      <w:r w:rsidRPr="00C039DF">
        <w:rPr>
          <w:rFonts w:asciiTheme="minorHAnsi" w:hAnsiTheme="minorHAnsi" w:cstheme="minorHAnsi"/>
          <w:sz w:val="14"/>
          <w:szCs w:val="14"/>
        </w:rPr>
        <w:t>de Estado, Sala Plena de lo Contencioso Administrativo. S</w:t>
      </w:r>
      <w:r w:rsidRPr="00C039DF">
        <w:rPr>
          <w:rFonts w:asciiTheme="minorHAnsi" w:hAnsiTheme="minorHAnsi" w:cstheme="minorHAnsi"/>
          <w:sz w:val="14"/>
          <w:szCs w:val="14"/>
          <w:lang w:val="es-MX"/>
        </w:rPr>
        <w:t>entencia del 22 de octubre de 2021, Rad. 13001-23-31-000-2011-00040-02(64290).</w:t>
      </w:r>
    </w:p>
  </w:footnote>
  <w:footnote w:id="20">
    <w:p w14:paraId="7D003D3F" w14:textId="77777777" w:rsidR="00301E50" w:rsidRPr="00161BC2" w:rsidRDefault="00301E50" w:rsidP="00301E50">
      <w:pPr>
        <w:pStyle w:val="Textonotapie"/>
        <w:rPr>
          <w:rFonts w:ascii="Verdana" w:hAnsi="Verdana"/>
          <w:sz w:val="16"/>
          <w:szCs w:val="16"/>
          <w:lang w:val="es-MX"/>
        </w:rPr>
      </w:pPr>
      <w:r w:rsidRPr="00161BC2">
        <w:rPr>
          <w:rStyle w:val="Refdenotaalpie"/>
          <w:rFonts w:ascii="Verdana" w:hAnsi="Verdana"/>
          <w:sz w:val="16"/>
          <w:szCs w:val="16"/>
        </w:rPr>
        <w:footnoteRef/>
      </w:r>
      <w:r w:rsidRPr="00161BC2">
        <w:rPr>
          <w:rFonts w:ascii="Verdana" w:hAnsi="Verdana"/>
          <w:sz w:val="16"/>
          <w:szCs w:val="16"/>
        </w:rPr>
        <w:t>Código de Comercio, Art. 730.</w:t>
      </w:r>
    </w:p>
  </w:footnote>
  <w:footnote w:id="21">
    <w:p w14:paraId="0D3AA016" w14:textId="77777777" w:rsidR="00301E50" w:rsidRPr="00161BC2" w:rsidRDefault="00301E50" w:rsidP="00301E50">
      <w:pPr>
        <w:pStyle w:val="Textonotapie"/>
        <w:rPr>
          <w:rFonts w:ascii="Verdana" w:hAnsi="Verdana"/>
          <w:sz w:val="16"/>
          <w:szCs w:val="16"/>
          <w:lang w:val="es-MX"/>
        </w:rPr>
      </w:pPr>
      <w:r w:rsidRPr="00161BC2">
        <w:rPr>
          <w:rStyle w:val="Refdenotaalpie"/>
          <w:rFonts w:ascii="Verdana" w:hAnsi="Verdana"/>
          <w:sz w:val="16"/>
          <w:szCs w:val="16"/>
        </w:rPr>
        <w:footnoteRef/>
      </w:r>
      <w:r w:rsidRPr="00161BC2">
        <w:rPr>
          <w:rFonts w:ascii="Verdana" w:hAnsi="Verdana"/>
          <w:sz w:val="16"/>
          <w:szCs w:val="16"/>
        </w:rPr>
        <w:t xml:space="preserve"> </w:t>
      </w:r>
      <w:r w:rsidRPr="00161BC2">
        <w:rPr>
          <w:rFonts w:ascii="Verdana" w:hAnsi="Verdana"/>
          <w:sz w:val="16"/>
          <w:szCs w:val="16"/>
          <w:lang w:val="es-MX"/>
        </w:rPr>
        <w:t>Véase: Corte Constitucional. Autos nro. 283 de 2009, nro. 201 de 2013 y nro. 521 de 2016.</w:t>
      </w:r>
    </w:p>
  </w:footnote>
  <w:footnote w:id="22">
    <w:p w14:paraId="7D0AE6F0" w14:textId="77777777" w:rsidR="00B11703" w:rsidRDefault="00B11703" w:rsidP="00B11703">
      <w:pPr>
        <w:pStyle w:val="TableParagraph"/>
        <w:tabs>
          <w:tab w:val="left" w:pos="584"/>
          <w:tab w:val="left" w:pos="6946"/>
        </w:tabs>
        <w:ind w:left="-426" w:right="-518" w:hanging="141"/>
        <w:jc w:val="both"/>
        <w:rPr>
          <w:rFonts w:ascii="Arial Narrow" w:hAnsi="Arial Narrow"/>
          <w:i/>
          <w:sz w:val="16"/>
          <w:szCs w:val="16"/>
        </w:rPr>
      </w:pPr>
      <w:r>
        <w:rPr>
          <w:rStyle w:val="Refdenotaalpie"/>
        </w:rPr>
        <w:footnoteRef/>
      </w:r>
      <w:r>
        <w:t xml:space="preserve"> </w:t>
      </w:r>
      <w:r w:rsidRPr="00FE6927">
        <w:rPr>
          <w:rFonts w:ascii="Arial Narrow" w:hAnsi="Arial Narrow"/>
          <w:sz w:val="16"/>
          <w:szCs w:val="16"/>
        </w:rPr>
        <w:t>“</w:t>
      </w:r>
      <w:r w:rsidRPr="00FE6927">
        <w:rPr>
          <w:rFonts w:ascii="Arial Narrow" w:hAnsi="Arial Narrow"/>
          <w:i/>
          <w:sz w:val="16"/>
          <w:szCs w:val="16"/>
        </w:rPr>
        <w:t>Artículo 1</w:t>
      </w:r>
      <w:r w:rsidRPr="0003632E">
        <w:t xml:space="preserve"> </w:t>
      </w:r>
      <w:r w:rsidRPr="0003632E">
        <w:rPr>
          <w:rFonts w:ascii="Arial Narrow" w:hAnsi="Arial Narrow"/>
          <w:i/>
          <w:sz w:val="16"/>
          <w:szCs w:val="16"/>
        </w:rPr>
        <w:t>141. CONTROVERSIAS CONTRACTUALES. Cualquiera de las partes de un contrato del Estado podrá pedir que se declare su existencia o su nulidad, que se ordene su revisión, que se declare su incumplimiento, que se declare la nulidad de los actos administrativos contractuales, que se condene al responsable a indemnizar los perjuicios, y que se hagan otras declaraciones y condenas. Así mismo, el interesado podrá solicitar la liquidación judicial del contrato cuando esta no se haya logrado de mutuo acuerdo y la entidad estatal no lo haya liquidado unilateralmente dentro de los dos (2) meses siguientes al vencimiento del plazo convenido para liquidar de mutuo acuerdo o, en su defecto, del término establecido por la ley.</w:t>
      </w:r>
    </w:p>
    <w:p w14:paraId="264A9307" w14:textId="77777777" w:rsidR="00B11703" w:rsidRDefault="00B11703" w:rsidP="00B11703">
      <w:pPr>
        <w:pStyle w:val="TableParagraph"/>
        <w:tabs>
          <w:tab w:val="left" w:pos="584"/>
          <w:tab w:val="left" w:pos="6946"/>
        </w:tabs>
        <w:ind w:left="-426" w:right="-518" w:hanging="141"/>
        <w:jc w:val="both"/>
        <w:rPr>
          <w:rFonts w:ascii="Arial Narrow" w:hAnsi="Arial Narrow"/>
          <w:i/>
          <w:sz w:val="16"/>
          <w:szCs w:val="16"/>
        </w:rPr>
      </w:pPr>
    </w:p>
    <w:p w14:paraId="15F7478A" w14:textId="77777777" w:rsidR="00B11703" w:rsidRPr="0003632E" w:rsidRDefault="00B11703" w:rsidP="00B11703">
      <w:pPr>
        <w:pStyle w:val="TableParagraph"/>
        <w:tabs>
          <w:tab w:val="left" w:pos="584"/>
          <w:tab w:val="left" w:pos="6946"/>
        </w:tabs>
        <w:ind w:left="-426" w:right="-518"/>
        <w:jc w:val="both"/>
        <w:rPr>
          <w:rFonts w:ascii="Arial Narrow" w:hAnsi="Arial Narrow"/>
          <w:i/>
          <w:sz w:val="16"/>
          <w:szCs w:val="16"/>
        </w:rPr>
      </w:pPr>
      <w:r w:rsidRPr="0003632E">
        <w:rPr>
          <w:rFonts w:ascii="Arial Narrow" w:hAnsi="Arial Narrow"/>
          <w:i/>
          <w:sz w:val="16"/>
          <w:szCs w:val="16"/>
        </w:rPr>
        <w:t>Los actos proferidos antes de la celebración del contrato, con ocasión de la actividad contractual, podrán demandarse en los términos de los artículos 137 y 138 de este Código, según el caso.</w:t>
      </w:r>
    </w:p>
    <w:p w14:paraId="4A80445C" w14:textId="77777777" w:rsidR="00B11703" w:rsidRPr="0003632E" w:rsidRDefault="00B11703" w:rsidP="00B11703">
      <w:pPr>
        <w:pStyle w:val="TableParagraph"/>
        <w:tabs>
          <w:tab w:val="left" w:pos="584"/>
          <w:tab w:val="left" w:pos="6946"/>
        </w:tabs>
        <w:ind w:left="-426" w:right="-518" w:hanging="141"/>
        <w:jc w:val="both"/>
        <w:rPr>
          <w:rFonts w:ascii="Arial Narrow" w:hAnsi="Arial Narrow"/>
          <w:i/>
          <w:sz w:val="16"/>
          <w:szCs w:val="16"/>
        </w:rPr>
      </w:pPr>
    </w:p>
    <w:p w14:paraId="35CB6559" w14:textId="77777777" w:rsidR="00B11703" w:rsidRPr="00FE6927" w:rsidRDefault="00B11703" w:rsidP="00B11703">
      <w:pPr>
        <w:pStyle w:val="TableParagraph"/>
        <w:tabs>
          <w:tab w:val="left" w:pos="584"/>
          <w:tab w:val="left" w:pos="6946"/>
        </w:tabs>
        <w:ind w:left="-426" w:right="-518"/>
        <w:jc w:val="both"/>
        <w:rPr>
          <w:rFonts w:ascii="Arial Narrow" w:hAnsi="Arial Narrow"/>
          <w:i/>
          <w:sz w:val="16"/>
          <w:szCs w:val="16"/>
        </w:rPr>
      </w:pPr>
      <w:r w:rsidRPr="0003632E">
        <w:rPr>
          <w:rFonts w:ascii="Arial Narrow" w:hAnsi="Arial Narrow"/>
          <w:i/>
          <w:sz w:val="16"/>
          <w:szCs w:val="16"/>
        </w:rPr>
        <w:t>El Ministerio Público o un tercero que acredite un interés directo podrán pedir que se declare la nulidad absoluta del contrato. El juez administrativo podrá declararla de oficio cuando esté plenamente demostrada en el proceso, siempre y cuando en él hayan intervenido las partes contratantes o sus causahabientes.</w:t>
      </w:r>
      <w:r w:rsidRPr="0003632E" w:rsidDel="0003632E">
        <w:rPr>
          <w:rFonts w:ascii="Arial Narrow" w:hAnsi="Arial Narrow"/>
          <w:i/>
          <w:sz w:val="16"/>
          <w:szCs w:val="16"/>
        </w:rPr>
        <w:t xml:space="preserve"> </w:t>
      </w:r>
      <w:r w:rsidRPr="00FE6927">
        <w:rPr>
          <w:rFonts w:ascii="Arial Narrow" w:hAnsi="Arial Narrow"/>
          <w:i/>
          <w:sz w:val="16"/>
          <w:szCs w:val="16"/>
        </w:rPr>
        <w:t>”</w:t>
      </w:r>
    </w:p>
    <w:p w14:paraId="56FBDEB3" w14:textId="77777777" w:rsidR="00B11703" w:rsidRPr="00FE6927" w:rsidRDefault="00B11703" w:rsidP="00B11703">
      <w:pPr>
        <w:pStyle w:val="Textonotapie"/>
        <w:tabs>
          <w:tab w:val="left" w:pos="6946"/>
        </w:tabs>
        <w:ind w:left="-567" w:right="-518"/>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689A" w14:textId="77777777" w:rsidR="00B57043" w:rsidRDefault="00B57043">
    <w:pPr>
      <w:pStyle w:val="Textoindependiente"/>
      <w:spacing w:before="0" w:line="14" w:lineRule="auto"/>
      <w:rPr>
        <w:b w:val="0"/>
        <w:sz w:val="20"/>
      </w:rPr>
    </w:pPr>
    <w:r>
      <w:rPr>
        <w:noProof/>
        <w:lang w:val="es-CO" w:eastAsia="es-CO" w:bidi="ar-SA"/>
      </w:rPr>
      <w:drawing>
        <wp:anchor distT="0" distB="0" distL="0" distR="0" simplePos="0" relativeHeight="251658240" behindDoc="1" locked="0" layoutInCell="1" allowOverlap="1" wp14:anchorId="79876DAB" wp14:editId="5B8730C8">
          <wp:simplePos x="0" y="0"/>
          <wp:positionH relativeFrom="margin">
            <wp:posOffset>-708660</wp:posOffset>
          </wp:positionH>
          <wp:positionV relativeFrom="topMargin">
            <wp:posOffset>175895</wp:posOffset>
          </wp:positionV>
          <wp:extent cx="6985000" cy="647700"/>
          <wp:effectExtent l="0" t="0" r="6350" b="0"/>
          <wp:wrapNone/>
          <wp:docPr id="205135405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985000" cy="647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4188"/>
    <w:multiLevelType w:val="hybridMultilevel"/>
    <w:tmpl w:val="81725618"/>
    <w:lvl w:ilvl="0" w:tplc="1852870C">
      <w:start w:val="1"/>
      <w:numFmt w:val="lowerLetter"/>
      <w:lvlText w:val="%1-"/>
      <w:lvlJc w:val="left"/>
      <w:pPr>
        <w:ind w:left="800" w:hanging="360"/>
      </w:pPr>
      <w:rPr>
        <w:rFonts w:hint="default"/>
      </w:rPr>
    </w:lvl>
    <w:lvl w:ilvl="1" w:tplc="240A0019" w:tentative="1">
      <w:start w:val="1"/>
      <w:numFmt w:val="lowerLetter"/>
      <w:lvlText w:val="%2."/>
      <w:lvlJc w:val="left"/>
      <w:pPr>
        <w:ind w:left="1520" w:hanging="360"/>
      </w:pPr>
    </w:lvl>
    <w:lvl w:ilvl="2" w:tplc="240A001B" w:tentative="1">
      <w:start w:val="1"/>
      <w:numFmt w:val="lowerRoman"/>
      <w:lvlText w:val="%3."/>
      <w:lvlJc w:val="right"/>
      <w:pPr>
        <w:ind w:left="2240" w:hanging="180"/>
      </w:pPr>
    </w:lvl>
    <w:lvl w:ilvl="3" w:tplc="240A000F" w:tentative="1">
      <w:start w:val="1"/>
      <w:numFmt w:val="decimal"/>
      <w:lvlText w:val="%4."/>
      <w:lvlJc w:val="left"/>
      <w:pPr>
        <w:ind w:left="2960" w:hanging="360"/>
      </w:pPr>
    </w:lvl>
    <w:lvl w:ilvl="4" w:tplc="240A0019" w:tentative="1">
      <w:start w:val="1"/>
      <w:numFmt w:val="lowerLetter"/>
      <w:lvlText w:val="%5."/>
      <w:lvlJc w:val="left"/>
      <w:pPr>
        <w:ind w:left="3680" w:hanging="360"/>
      </w:pPr>
    </w:lvl>
    <w:lvl w:ilvl="5" w:tplc="240A001B" w:tentative="1">
      <w:start w:val="1"/>
      <w:numFmt w:val="lowerRoman"/>
      <w:lvlText w:val="%6."/>
      <w:lvlJc w:val="right"/>
      <w:pPr>
        <w:ind w:left="4400" w:hanging="180"/>
      </w:pPr>
    </w:lvl>
    <w:lvl w:ilvl="6" w:tplc="240A000F" w:tentative="1">
      <w:start w:val="1"/>
      <w:numFmt w:val="decimal"/>
      <w:lvlText w:val="%7."/>
      <w:lvlJc w:val="left"/>
      <w:pPr>
        <w:ind w:left="5120" w:hanging="360"/>
      </w:pPr>
    </w:lvl>
    <w:lvl w:ilvl="7" w:tplc="240A0019" w:tentative="1">
      <w:start w:val="1"/>
      <w:numFmt w:val="lowerLetter"/>
      <w:lvlText w:val="%8."/>
      <w:lvlJc w:val="left"/>
      <w:pPr>
        <w:ind w:left="5840" w:hanging="360"/>
      </w:pPr>
    </w:lvl>
    <w:lvl w:ilvl="8" w:tplc="240A001B" w:tentative="1">
      <w:start w:val="1"/>
      <w:numFmt w:val="lowerRoman"/>
      <w:lvlText w:val="%9."/>
      <w:lvlJc w:val="right"/>
      <w:pPr>
        <w:ind w:left="6560" w:hanging="180"/>
      </w:pPr>
    </w:lvl>
  </w:abstractNum>
  <w:abstractNum w:abstractNumId="1" w15:restartNumberingAfterBreak="0">
    <w:nsid w:val="121F59BD"/>
    <w:multiLevelType w:val="multilevel"/>
    <w:tmpl w:val="5B8A1120"/>
    <w:lvl w:ilvl="0">
      <w:start w:val="1"/>
      <w:numFmt w:val="decimal"/>
      <w:lvlText w:val="%1."/>
      <w:lvlJc w:val="left"/>
      <w:pPr>
        <w:ind w:left="720" w:hanging="360"/>
      </w:pPr>
      <w:rPr>
        <w:rFonts w:hint="default"/>
        <w:b/>
        <w:color w:val="auto"/>
      </w:rPr>
    </w:lvl>
    <w:lvl w:ilvl="1">
      <w:start w:val="1"/>
      <w:numFmt w:val="decimal"/>
      <w:isLgl/>
      <w:lvlText w:val="%1.%2"/>
      <w:lvlJc w:val="left"/>
      <w:pPr>
        <w:ind w:left="2487"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65448E3"/>
    <w:multiLevelType w:val="multilevel"/>
    <w:tmpl w:val="3A320420"/>
    <w:lvl w:ilvl="0">
      <w:start w:val="1"/>
      <w:numFmt w:val="decimal"/>
      <w:lvlText w:val="%1."/>
      <w:lvlJc w:val="left"/>
      <w:pPr>
        <w:ind w:left="720" w:hanging="360"/>
      </w:pPr>
      <w:rPr>
        <w:rFonts w:eastAsia="Arial" w:hint="default"/>
        <w:b/>
        <w:color w:val="auto"/>
      </w:rPr>
    </w:lvl>
    <w:lvl w:ilvl="1">
      <w:start w:val="1"/>
      <w:numFmt w:val="decimal"/>
      <w:isLgl/>
      <w:lvlText w:val="%1.%2."/>
      <w:lvlJc w:val="left"/>
      <w:pPr>
        <w:ind w:left="720" w:hanging="360"/>
      </w:pPr>
      <w:rPr>
        <w:rFonts w:eastAsia="Arial" w:hint="default"/>
        <w:b/>
        <w:color w:val="auto"/>
      </w:rPr>
    </w:lvl>
    <w:lvl w:ilvl="2">
      <w:start w:val="1"/>
      <w:numFmt w:val="decimal"/>
      <w:isLgl/>
      <w:lvlText w:val="%1.%2.%3."/>
      <w:lvlJc w:val="left"/>
      <w:pPr>
        <w:ind w:left="1080" w:hanging="720"/>
      </w:pPr>
      <w:rPr>
        <w:rFonts w:eastAsia="Arial" w:hint="default"/>
        <w:b/>
        <w:color w:val="auto"/>
      </w:rPr>
    </w:lvl>
    <w:lvl w:ilvl="3">
      <w:start w:val="1"/>
      <w:numFmt w:val="decimal"/>
      <w:isLgl/>
      <w:lvlText w:val="%1.%2.%3.%4."/>
      <w:lvlJc w:val="left"/>
      <w:pPr>
        <w:ind w:left="1080" w:hanging="720"/>
      </w:pPr>
      <w:rPr>
        <w:rFonts w:eastAsia="Arial" w:hint="default"/>
        <w:b/>
        <w:color w:val="auto"/>
      </w:rPr>
    </w:lvl>
    <w:lvl w:ilvl="4">
      <w:start w:val="1"/>
      <w:numFmt w:val="decimal"/>
      <w:isLgl/>
      <w:lvlText w:val="%1.%2.%3.%4.%5."/>
      <w:lvlJc w:val="left"/>
      <w:pPr>
        <w:ind w:left="1440" w:hanging="1080"/>
      </w:pPr>
      <w:rPr>
        <w:rFonts w:eastAsia="Arial" w:hint="default"/>
        <w:b/>
        <w:color w:val="auto"/>
      </w:rPr>
    </w:lvl>
    <w:lvl w:ilvl="5">
      <w:start w:val="1"/>
      <w:numFmt w:val="decimal"/>
      <w:isLgl/>
      <w:lvlText w:val="%1.%2.%3.%4.%5.%6."/>
      <w:lvlJc w:val="left"/>
      <w:pPr>
        <w:ind w:left="1440" w:hanging="1080"/>
      </w:pPr>
      <w:rPr>
        <w:rFonts w:eastAsia="Arial" w:hint="default"/>
        <w:b/>
        <w:color w:val="auto"/>
      </w:rPr>
    </w:lvl>
    <w:lvl w:ilvl="6">
      <w:start w:val="1"/>
      <w:numFmt w:val="decimal"/>
      <w:isLgl/>
      <w:lvlText w:val="%1.%2.%3.%4.%5.%6.%7."/>
      <w:lvlJc w:val="left"/>
      <w:pPr>
        <w:ind w:left="1440" w:hanging="1080"/>
      </w:pPr>
      <w:rPr>
        <w:rFonts w:eastAsia="Arial" w:hint="default"/>
        <w:b/>
        <w:color w:val="auto"/>
      </w:rPr>
    </w:lvl>
    <w:lvl w:ilvl="7">
      <w:start w:val="1"/>
      <w:numFmt w:val="decimal"/>
      <w:isLgl/>
      <w:lvlText w:val="%1.%2.%3.%4.%5.%6.%7.%8."/>
      <w:lvlJc w:val="left"/>
      <w:pPr>
        <w:ind w:left="1800" w:hanging="1440"/>
      </w:pPr>
      <w:rPr>
        <w:rFonts w:eastAsia="Arial" w:hint="default"/>
        <w:b/>
        <w:color w:val="auto"/>
      </w:rPr>
    </w:lvl>
    <w:lvl w:ilvl="8">
      <w:start w:val="1"/>
      <w:numFmt w:val="decimal"/>
      <w:isLgl/>
      <w:lvlText w:val="%1.%2.%3.%4.%5.%6.%7.%8.%9."/>
      <w:lvlJc w:val="left"/>
      <w:pPr>
        <w:ind w:left="1800" w:hanging="1440"/>
      </w:pPr>
      <w:rPr>
        <w:rFonts w:eastAsia="Arial" w:hint="default"/>
        <w:b/>
        <w:color w:val="auto"/>
      </w:rPr>
    </w:lvl>
  </w:abstractNum>
  <w:abstractNum w:abstractNumId="3" w15:restartNumberingAfterBreak="0">
    <w:nsid w:val="16847533"/>
    <w:multiLevelType w:val="hybridMultilevel"/>
    <w:tmpl w:val="548CDFE6"/>
    <w:lvl w:ilvl="0" w:tplc="4762C670">
      <w:start w:val="1"/>
      <w:numFmt w:val="lowerRoman"/>
      <w:lvlText w:val="%1)"/>
      <w:lvlJc w:val="left"/>
      <w:pPr>
        <w:ind w:left="1196" w:hanging="720"/>
      </w:pPr>
      <w:rPr>
        <w:rFonts w:hint="default"/>
      </w:rPr>
    </w:lvl>
    <w:lvl w:ilvl="1" w:tplc="240A0019" w:tentative="1">
      <w:start w:val="1"/>
      <w:numFmt w:val="lowerLetter"/>
      <w:lvlText w:val="%2."/>
      <w:lvlJc w:val="left"/>
      <w:pPr>
        <w:ind w:left="1556" w:hanging="360"/>
      </w:pPr>
    </w:lvl>
    <w:lvl w:ilvl="2" w:tplc="240A001B" w:tentative="1">
      <w:start w:val="1"/>
      <w:numFmt w:val="lowerRoman"/>
      <w:lvlText w:val="%3."/>
      <w:lvlJc w:val="right"/>
      <w:pPr>
        <w:ind w:left="2276" w:hanging="180"/>
      </w:pPr>
    </w:lvl>
    <w:lvl w:ilvl="3" w:tplc="240A000F" w:tentative="1">
      <w:start w:val="1"/>
      <w:numFmt w:val="decimal"/>
      <w:lvlText w:val="%4."/>
      <w:lvlJc w:val="left"/>
      <w:pPr>
        <w:ind w:left="2996" w:hanging="360"/>
      </w:pPr>
    </w:lvl>
    <w:lvl w:ilvl="4" w:tplc="240A0019" w:tentative="1">
      <w:start w:val="1"/>
      <w:numFmt w:val="lowerLetter"/>
      <w:lvlText w:val="%5."/>
      <w:lvlJc w:val="left"/>
      <w:pPr>
        <w:ind w:left="3716" w:hanging="360"/>
      </w:pPr>
    </w:lvl>
    <w:lvl w:ilvl="5" w:tplc="240A001B" w:tentative="1">
      <w:start w:val="1"/>
      <w:numFmt w:val="lowerRoman"/>
      <w:lvlText w:val="%6."/>
      <w:lvlJc w:val="right"/>
      <w:pPr>
        <w:ind w:left="4436" w:hanging="180"/>
      </w:pPr>
    </w:lvl>
    <w:lvl w:ilvl="6" w:tplc="240A000F" w:tentative="1">
      <w:start w:val="1"/>
      <w:numFmt w:val="decimal"/>
      <w:lvlText w:val="%7."/>
      <w:lvlJc w:val="left"/>
      <w:pPr>
        <w:ind w:left="5156" w:hanging="360"/>
      </w:pPr>
    </w:lvl>
    <w:lvl w:ilvl="7" w:tplc="240A0019" w:tentative="1">
      <w:start w:val="1"/>
      <w:numFmt w:val="lowerLetter"/>
      <w:lvlText w:val="%8."/>
      <w:lvlJc w:val="left"/>
      <w:pPr>
        <w:ind w:left="5876" w:hanging="360"/>
      </w:pPr>
    </w:lvl>
    <w:lvl w:ilvl="8" w:tplc="240A001B" w:tentative="1">
      <w:start w:val="1"/>
      <w:numFmt w:val="lowerRoman"/>
      <w:lvlText w:val="%9."/>
      <w:lvlJc w:val="right"/>
      <w:pPr>
        <w:ind w:left="6596" w:hanging="180"/>
      </w:pPr>
    </w:lvl>
  </w:abstractNum>
  <w:abstractNum w:abstractNumId="4" w15:restartNumberingAfterBreak="0">
    <w:nsid w:val="1A2D59B2"/>
    <w:multiLevelType w:val="multilevel"/>
    <w:tmpl w:val="B1C6A31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985FBF"/>
    <w:multiLevelType w:val="multilevel"/>
    <w:tmpl w:val="18B2D8D4"/>
    <w:lvl w:ilvl="0">
      <w:start w:val="1"/>
      <w:numFmt w:val="decimal"/>
      <w:lvlText w:val="%1."/>
      <w:lvlJc w:val="left"/>
      <w:pPr>
        <w:ind w:left="720" w:hanging="360"/>
      </w:pPr>
      <w:rPr>
        <w:rFonts w:eastAsia="Arial" w:hint="default"/>
        <w:b/>
        <w:color w:val="auto"/>
      </w:rPr>
    </w:lvl>
    <w:lvl w:ilvl="1">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isLgl/>
      <w:lvlText w:val="%1.%2.%3."/>
      <w:lvlJc w:val="left"/>
      <w:pPr>
        <w:ind w:left="1080" w:hanging="720"/>
      </w:pPr>
      <w:rPr>
        <w:rFonts w:eastAsia="Arial" w:hint="default"/>
        <w:b/>
        <w:color w:val="auto"/>
      </w:rPr>
    </w:lvl>
    <w:lvl w:ilvl="3">
      <w:start w:val="1"/>
      <w:numFmt w:val="decimal"/>
      <w:isLgl/>
      <w:lvlText w:val="%1.%2.%3.%4."/>
      <w:lvlJc w:val="left"/>
      <w:pPr>
        <w:ind w:left="1080" w:hanging="720"/>
      </w:pPr>
      <w:rPr>
        <w:rFonts w:eastAsia="Arial" w:hint="default"/>
        <w:b/>
        <w:color w:val="auto"/>
      </w:rPr>
    </w:lvl>
    <w:lvl w:ilvl="4">
      <w:start w:val="1"/>
      <w:numFmt w:val="decimal"/>
      <w:isLgl/>
      <w:lvlText w:val="%1.%2.%3.%4.%5."/>
      <w:lvlJc w:val="left"/>
      <w:pPr>
        <w:ind w:left="1440" w:hanging="1080"/>
      </w:pPr>
      <w:rPr>
        <w:rFonts w:eastAsia="Arial" w:hint="default"/>
        <w:b/>
        <w:color w:val="auto"/>
      </w:rPr>
    </w:lvl>
    <w:lvl w:ilvl="5">
      <w:start w:val="1"/>
      <w:numFmt w:val="decimal"/>
      <w:isLgl/>
      <w:lvlText w:val="%1.%2.%3.%4.%5.%6."/>
      <w:lvlJc w:val="left"/>
      <w:pPr>
        <w:ind w:left="1440" w:hanging="1080"/>
      </w:pPr>
      <w:rPr>
        <w:rFonts w:eastAsia="Arial" w:hint="default"/>
        <w:b/>
        <w:color w:val="auto"/>
      </w:rPr>
    </w:lvl>
    <w:lvl w:ilvl="6">
      <w:start w:val="1"/>
      <w:numFmt w:val="decimal"/>
      <w:isLgl/>
      <w:lvlText w:val="%1.%2.%3.%4.%5.%6.%7."/>
      <w:lvlJc w:val="left"/>
      <w:pPr>
        <w:ind w:left="1440" w:hanging="1080"/>
      </w:pPr>
      <w:rPr>
        <w:rFonts w:eastAsia="Arial" w:hint="default"/>
        <w:b/>
        <w:color w:val="auto"/>
      </w:rPr>
    </w:lvl>
    <w:lvl w:ilvl="7">
      <w:start w:val="1"/>
      <w:numFmt w:val="decimal"/>
      <w:isLgl/>
      <w:lvlText w:val="%1.%2.%3.%4.%5.%6.%7.%8."/>
      <w:lvlJc w:val="left"/>
      <w:pPr>
        <w:ind w:left="1800" w:hanging="1440"/>
      </w:pPr>
      <w:rPr>
        <w:rFonts w:eastAsia="Arial" w:hint="default"/>
        <w:b/>
        <w:color w:val="auto"/>
      </w:rPr>
    </w:lvl>
    <w:lvl w:ilvl="8">
      <w:start w:val="1"/>
      <w:numFmt w:val="decimal"/>
      <w:isLgl/>
      <w:lvlText w:val="%1.%2.%3.%4.%5.%6.%7.%8.%9."/>
      <w:lvlJc w:val="left"/>
      <w:pPr>
        <w:ind w:left="1800" w:hanging="1440"/>
      </w:pPr>
      <w:rPr>
        <w:rFonts w:eastAsia="Arial" w:hint="default"/>
        <w:b/>
        <w:color w:val="auto"/>
      </w:rPr>
    </w:lvl>
  </w:abstractNum>
  <w:abstractNum w:abstractNumId="6" w15:restartNumberingAfterBreak="0">
    <w:nsid w:val="2883600E"/>
    <w:multiLevelType w:val="hybridMultilevel"/>
    <w:tmpl w:val="0B38C36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7" w15:restartNumberingAfterBreak="0">
    <w:nsid w:val="326D4D49"/>
    <w:multiLevelType w:val="hybridMultilevel"/>
    <w:tmpl w:val="FBBABA64"/>
    <w:lvl w:ilvl="0" w:tplc="C256D3AC">
      <w:start w:val="1"/>
      <w:numFmt w:val="decimal"/>
      <w:lvlText w:val="%1."/>
      <w:lvlJc w:val="left"/>
      <w:pPr>
        <w:ind w:left="949" w:hanging="360"/>
      </w:pPr>
      <w:rPr>
        <w:rFonts w:hint="default"/>
      </w:rPr>
    </w:lvl>
    <w:lvl w:ilvl="1" w:tplc="240A0019" w:tentative="1">
      <w:start w:val="1"/>
      <w:numFmt w:val="lowerLetter"/>
      <w:lvlText w:val="%2."/>
      <w:lvlJc w:val="left"/>
      <w:pPr>
        <w:ind w:left="1669" w:hanging="360"/>
      </w:pPr>
    </w:lvl>
    <w:lvl w:ilvl="2" w:tplc="240A001B" w:tentative="1">
      <w:start w:val="1"/>
      <w:numFmt w:val="lowerRoman"/>
      <w:lvlText w:val="%3."/>
      <w:lvlJc w:val="right"/>
      <w:pPr>
        <w:ind w:left="2389" w:hanging="180"/>
      </w:pPr>
    </w:lvl>
    <w:lvl w:ilvl="3" w:tplc="240A000F" w:tentative="1">
      <w:start w:val="1"/>
      <w:numFmt w:val="decimal"/>
      <w:lvlText w:val="%4."/>
      <w:lvlJc w:val="left"/>
      <w:pPr>
        <w:ind w:left="3109" w:hanging="360"/>
      </w:pPr>
    </w:lvl>
    <w:lvl w:ilvl="4" w:tplc="240A0019" w:tentative="1">
      <w:start w:val="1"/>
      <w:numFmt w:val="lowerLetter"/>
      <w:lvlText w:val="%5."/>
      <w:lvlJc w:val="left"/>
      <w:pPr>
        <w:ind w:left="3829" w:hanging="360"/>
      </w:pPr>
    </w:lvl>
    <w:lvl w:ilvl="5" w:tplc="240A001B" w:tentative="1">
      <w:start w:val="1"/>
      <w:numFmt w:val="lowerRoman"/>
      <w:lvlText w:val="%6."/>
      <w:lvlJc w:val="right"/>
      <w:pPr>
        <w:ind w:left="4549" w:hanging="180"/>
      </w:pPr>
    </w:lvl>
    <w:lvl w:ilvl="6" w:tplc="240A000F" w:tentative="1">
      <w:start w:val="1"/>
      <w:numFmt w:val="decimal"/>
      <w:lvlText w:val="%7."/>
      <w:lvlJc w:val="left"/>
      <w:pPr>
        <w:ind w:left="5269" w:hanging="360"/>
      </w:pPr>
    </w:lvl>
    <w:lvl w:ilvl="7" w:tplc="240A0019" w:tentative="1">
      <w:start w:val="1"/>
      <w:numFmt w:val="lowerLetter"/>
      <w:lvlText w:val="%8."/>
      <w:lvlJc w:val="left"/>
      <w:pPr>
        <w:ind w:left="5989" w:hanging="360"/>
      </w:pPr>
    </w:lvl>
    <w:lvl w:ilvl="8" w:tplc="240A001B" w:tentative="1">
      <w:start w:val="1"/>
      <w:numFmt w:val="lowerRoman"/>
      <w:lvlText w:val="%9."/>
      <w:lvlJc w:val="right"/>
      <w:pPr>
        <w:ind w:left="6709" w:hanging="180"/>
      </w:pPr>
    </w:lvl>
  </w:abstractNum>
  <w:abstractNum w:abstractNumId="8" w15:restartNumberingAfterBreak="0">
    <w:nsid w:val="32A523E2"/>
    <w:multiLevelType w:val="hybridMultilevel"/>
    <w:tmpl w:val="3D1E34AC"/>
    <w:lvl w:ilvl="0" w:tplc="A4E8F3F2">
      <w:start w:val="2"/>
      <w:numFmt w:val="bullet"/>
      <w:lvlText w:val="-"/>
      <w:lvlJc w:val="left"/>
      <w:pPr>
        <w:ind w:left="720" w:hanging="360"/>
      </w:pPr>
      <w:rPr>
        <w:rFonts w:ascii="Verdana" w:eastAsia="Calibri" w:hAnsi="Verdana" w:cs="Times New Roman"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156BA2"/>
    <w:multiLevelType w:val="hybridMultilevel"/>
    <w:tmpl w:val="43FEF91A"/>
    <w:lvl w:ilvl="0" w:tplc="240A0001">
      <w:start w:val="1"/>
      <w:numFmt w:val="bullet"/>
      <w:lvlText w:val=""/>
      <w:lvlJc w:val="left"/>
      <w:pPr>
        <w:ind w:left="1302" w:hanging="360"/>
      </w:pPr>
      <w:rPr>
        <w:rFonts w:ascii="Symbol" w:hAnsi="Symbol" w:hint="default"/>
      </w:rPr>
    </w:lvl>
    <w:lvl w:ilvl="1" w:tplc="240A0003" w:tentative="1">
      <w:start w:val="1"/>
      <w:numFmt w:val="bullet"/>
      <w:lvlText w:val="o"/>
      <w:lvlJc w:val="left"/>
      <w:pPr>
        <w:ind w:left="2022" w:hanging="360"/>
      </w:pPr>
      <w:rPr>
        <w:rFonts w:ascii="Courier New" w:hAnsi="Courier New" w:cs="Courier New" w:hint="default"/>
      </w:rPr>
    </w:lvl>
    <w:lvl w:ilvl="2" w:tplc="240A0005" w:tentative="1">
      <w:start w:val="1"/>
      <w:numFmt w:val="bullet"/>
      <w:lvlText w:val=""/>
      <w:lvlJc w:val="left"/>
      <w:pPr>
        <w:ind w:left="2742" w:hanging="360"/>
      </w:pPr>
      <w:rPr>
        <w:rFonts w:ascii="Wingdings" w:hAnsi="Wingdings" w:hint="default"/>
      </w:rPr>
    </w:lvl>
    <w:lvl w:ilvl="3" w:tplc="240A0001" w:tentative="1">
      <w:start w:val="1"/>
      <w:numFmt w:val="bullet"/>
      <w:lvlText w:val=""/>
      <w:lvlJc w:val="left"/>
      <w:pPr>
        <w:ind w:left="3462" w:hanging="360"/>
      </w:pPr>
      <w:rPr>
        <w:rFonts w:ascii="Symbol" w:hAnsi="Symbol" w:hint="default"/>
      </w:rPr>
    </w:lvl>
    <w:lvl w:ilvl="4" w:tplc="240A0003" w:tentative="1">
      <w:start w:val="1"/>
      <w:numFmt w:val="bullet"/>
      <w:lvlText w:val="o"/>
      <w:lvlJc w:val="left"/>
      <w:pPr>
        <w:ind w:left="4182" w:hanging="360"/>
      </w:pPr>
      <w:rPr>
        <w:rFonts w:ascii="Courier New" w:hAnsi="Courier New" w:cs="Courier New" w:hint="default"/>
      </w:rPr>
    </w:lvl>
    <w:lvl w:ilvl="5" w:tplc="240A0005" w:tentative="1">
      <w:start w:val="1"/>
      <w:numFmt w:val="bullet"/>
      <w:lvlText w:val=""/>
      <w:lvlJc w:val="left"/>
      <w:pPr>
        <w:ind w:left="4902" w:hanging="360"/>
      </w:pPr>
      <w:rPr>
        <w:rFonts w:ascii="Wingdings" w:hAnsi="Wingdings" w:hint="default"/>
      </w:rPr>
    </w:lvl>
    <w:lvl w:ilvl="6" w:tplc="240A0001" w:tentative="1">
      <w:start w:val="1"/>
      <w:numFmt w:val="bullet"/>
      <w:lvlText w:val=""/>
      <w:lvlJc w:val="left"/>
      <w:pPr>
        <w:ind w:left="5622" w:hanging="360"/>
      </w:pPr>
      <w:rPr>
        <w:rFonts w:ascii="Symbol" w:hAnsi="Symbol" w:hint="default"/>
      </w:rPr>
    </w:lvl>
    <w:lvl w:ilvl="7" w:tplc="240A0003" w:tentative="1">
      <w:start w:val="1"/>
      <w:numFmt w:val="bullet"/>
      <w:lvlText w:val="o"/>
      <w:lvlJc w:val="left"/>
      <w:pPr>
        <w:ind w:left="6342" w:hanging="360"/>
      </w:pPr>
      <w:rPr>
        <w:rFonts w:ascii="Courier New" w:hAnsi="Courier New" w:cs="Courier New" w:hint="default"/>
      </w:rPr>
    </w:lvl>
    <w:lvl w:ilvl="8" w:tplc="240A0005" w:tentative="1">
      <w:start w:val="1"/>
      <w:numFmt w:val="bullet"/>
      <w:lvlText w:val=""/>
      <w:lvlJc w:val="left"/>
      <w:pPr>
        <w:ind w:left="7062" w:hanging="360"/>
      </w:pPr>
      <w:rPr>
        <w:rFonts w:ascii="Wingdings" w:hAnsi="Wingdings" w:hint="default"/>
      </w:rPr>
    </w:lvl>
  </w:abstractNum>
  <w:abstractNum w:abstractNumId="10" w15:restartNumberingAfterBreak="0">
    <w:nsid w:val="34416682"/>
    <w:multiLevelType w:val="multilevel"/>
    <w:tmpl w:val="0F8A88E4"/>
    <w:styleLink w:val="Listaactual1"/>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9130EB"/>
    <w:multiLevelType w:val="multilevel"/>
    <w:tmpl w:val="B81695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8441B3"/>
    <w:multiLevelType w:val="hybridMultilevel"/>
    <w:tmpl w:val="1F209AAA"/>
    <w:lvl w:ilvl="0" w:tplc="513CC062">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3" w15:restartNumberingAfterBreak="0">
    <w:nsid w:val="3E033982"/>
    <w:multiLevelType w:val="hybridMultilevel"/>
    <w:tmpl w:val="790C54DA"/>
    <w:lvl w:ilvl="0" w:tplc="D0748602">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4" w15:restartNumberingAfterBreak="0">
    <w:nsid w:val="47B37073"/>
    <w:multiLevelType w:val="multilevel"/>
    <w:tmpl w:val="46882D2E"/>
    <w:lvl w:ilvl="0">
      <w:start w:val="6"/>
      <w:numFmt w:val="decimal"/>
      <w:lvlText w:val="%1"/>
      <w:lvlJc w:val="left"/>
      <w:pPr>
        <w:ind w:left="360" w:hanging="360"/>
      </w:pPr>
      <w:rPr>
        <w:rFonts w:hint="default"/>
        <w:b/>
        <w:bCs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7557A5"/>
    <w:multiLevelType w:val="multilevel"/>
    <w:tmpl w:val="687E2E46"/>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84951"/>
    <w:multiLevelType w:val="hybridMultilevel"/>
    <w:tmpl w:val="E4761EF0"/>
    <w:lvl w:ilvl="0" w:tplc="0CE05BE6">
      <w:start w:val="1"/>
      <w:numFmt w:val="decimal"/>
      <w:lvlText w:val="%1."/>
      <w:lvlJc w:val="left"/>
      <w:pPr>
        <w:ind w:left="949" w:hanging="360"/>
      </w:pPr>
      <w:rPr>
        <w:rFonts w:hint="default"/>
      </w:rPr>
    </w:lvl>
    <w:lvl w:ilvl="1" w:tplc="240A0019" w:tentative="1">
      <w:start w:val="1"/>
      <w:numFmt w:val="lowerLetter"/>
      <w:lvlText w:val="%2."/>
      <w:lvlJc w:val="left"/>
      <w:pPr>
        <w:ind w:left="1669" w:hanging="360"/>
      </w:pPr>
    </w:lvl>
    <w:lvl w:ilvl="2" w:tplc="240A001B" w:tentative="1">
      <w:start w:val="1"/>
      <w:numFmt w:val="lowerRoman"/>
      <w:lvlText w:val="%3."/>
      <w:lvlJc w:val="right"/>
      <w:pPr>
        <w:ind w:left="2389" w:hanging="180"/>
      </w:pPr>
    </w:lvl>
    <w:lvl w:ilvl="3" w:tplc="240A000F" w:tentative="1">
      <w:start w:val="1"/>
      <w:numFmt w:val="decimal"/>
      <w:lvlText w:val="%4."/>
      <w:lvlJc w:val="left"/>
      <w:pPr>
        <w:ind w:left="3109" w:hanging="360"/>
      </w:pPr>
    </w:lvl>
    <w:lvl w:ilvl="4" w:tplc="240A0019" w:tentative="1">
      <w:start w:val="1"/>
      <w:numFmt w:val="lowerLetter"/>
      <w:lvlText w:val="%5."/>
      <w:lvlJc w:val="left"/>
      <w:pPr>
        <w:ind w:left="3829" w:hanging="360"/>
      </w:pPr>
    </w:lvl>
    <w:lvl w:ilvl="5" w:tplc="240A001B" w:tentative="1">
      <w:start w:val="1"/>
      <w:numFmt w:val="lowerRoman"/>
      <w:lvlText w:val="%6."/>
      <w:lvlJc w:val="right"/>
      <w:pPr>
        <w:ind w:left="4549" w:hanging="180"/>
      </w:pPr>
    </w:lvl>
    <w:lvl w:ilvl="6" w:tplc="240A000F" w:tentative="1">
      <w:start w:val="1"/>
      <w:numFmt w:val="decimal"/>
      <w:lvlText w:val="%7."/>
      <w:lvlJc w:val="left"/>
      <w:pPr>
        <w:ind w:left="5269" w:hanging="360"/>
      </w:pPr>
    </w:lvl>
    <w:lvl w:ilvl="7" w:tplc="240A0019" w:tentative="1">
      <w:start w:val="1"/>
      <w:numFmt w:val="lowerLetter"/>
      <w:lvlText w:val="%8."/>
      <w:lvlJc w:val="left"/>
      <w:pPr>
        <w:ind w:left="5989" w:hanging="360"/>
      </w:pPr>
    </w:lvl>
    <w:lvl w:ilvl="8" w:tplc="240A001B" w:tentative="1">
      <w:start w:val="1"/>
      <w:numFmt w:val="lowerRoman"/>
      <w:lvlText w:val="%9."/>
      <w:lvlJc w:val="right"/>
      <w:pPr>
        <w:ind w:left="6709" w:hanging="180"/>
      </w:pPr>
    </w:lvl>
  </w:abstractNum>
  <w:abstractNum w:abstractNumId="17" w15:restartNumberingAfterBreak="0">
    <w:nsid w:val="4AC8156C"/>
    <w:multiLevelType w:val="multilevel"/>
    <w:tmpl w:val="FB20C52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9821DE"/>
    <w:multiLevelType w:val="hybridMultilevel"/>
    <w:tmpl w:val="F9BE947E"/>
    <w:lvl w:ilvl="0" w:tplc="FBBE2C7C">
      <w:start w:val="1"/>
      <w:numFmt w:val="bullet"/>
      <w:lvlText w:val="-"/>
      <w:lvlJc w:val="left"/>
      <w:pPr>
        <w:ind w:left="1302" w:hanging="360"/>
      </w:pPr>
      <w:rPr>
        <w:rFonts w:ascii="Arial Narrow" w:eastAsia="Calibri" w:hAnsi="Arial Narrow" w:cs="Arial" w:hint="default"/>
      </w:rPr>
    </w:lvl>
    <w:lvl w:ilvl="1" w:tplc="240A0003" w:tentative="1">
      <w:start w:val="1"/>
      <w:numFmt w:val="bullet"/>
      <w:lvlText w:val="o"/>
      <w:lvlJc w:val="left"/>
      <w:pPr>
        <w:ind w:left="2022" w:hanging="360"/>
      </w:pPr>
      <w:rPr>
        <w:rFonts w:ascii="Courier New" w:hAnsi="Courier New" w:cs="Courier New" w:hint="default"/>
      </w:rPr>
    </w:lvl>
    <w:lvl w:ilvl="2" w:tplc="240A0005" w:tentative="1">
      <w:start w:val="1"/>
      <w:numFmt w:val="bullet"/>
      <w:lvlText w:val=""/>
      <w:lvlJc w:val="left"/>
      <w:pPr>
        <w:ind w:left="2742" w:hanging="360"/>
      </w:pPr>
      <w:rPr>
        <w:rFonts w:ascii="Wingdings" w:hAnsi="Wingdings" w:hint="default"/>
      </w:rPr>
    </w:lvl>
    <w:lvl w:ilvl="3" w:tplc="240A0001" w:tentative="1">
      <w:start w:val="1"/>
      <w:numFmt w:val="bullet"/>
      <w:lvlText w:val=""/>
      <w:lvlJc w:val="left"/>
      <w:pPr>
        <w:ind w:left="3462" w:hanging="360"/>
      </w:pPr>
      <w:rPr>
        <w:rFonts w:ascii="Symbol" w:hAnsi="Symbol" w:hint="default"/>
      </w:rPr>
    </w:lvl>
    <w:lvl w:ilvl="4" w:tplc="240A0003" w:tentative="1">
      <w:start w:val="1"/>
      <w:numFmt w:val="bullet"/>
      <w:lvlText w:val="o"/>
      <w:lvlJc w:val="left"/>
      <w:pPr>
        <w:ind w:left="4182" w:hanging="360"/>
      </w:pPr>
      <w:rPr>
        <w:rFonts w:ascii="Courier New" w:hAnsi="Courier New" w:cs="Courier New" w:hint="default"/>
      </w:rPr>
    </w:lvl>
    <w:lvl w:ilvl="5" w:tplc="240A0005" w:tentative="1">
      <w:start w:val="1"/>
      <w:numFmt w:val="bullet"/>
      <w:lvlText w:val=""/>
      <w:lvlJc w:val="left"/>
      <w:pPr>
        <w:ind w:left="4902" w:hanging="360"/>
      </w:pPr>
      <w:rPr>
        <w:rFonts w:ascii="Wingdings" w:hAnsi="Wingdings" w:hint="default"/>
      </w:rPr>
    </w:lvl>
    <w:lvl w:ilvl="6" w:tplc="240A0001" w:tentative="1">
      <w:start w:val="1"/>
      <w:numFmt w:val="bullet"/>
      <w:lvlText w:val=""/>
      <w:lvlJc w:val="left"/>
      <w:pPr>
        <w:ind w:left="5622" w:hanging="360"/>
      </w:pPr>
      <w:rPr>
        <w:rFonts w:ascii="Symbol" w:hAnsi="Symbol" w:hint="default"/>
      </w:rPr>
    </w:lvl>
    <w:lvl w:ilvl="7" w:tplc="240A0003" w:tentative="1">
      <w:start w:val="1"/>
      <w:numFmt w:val="bullet"/>
      <w:lvlText w:val="o"/>
      <w:lvlJc w:val="left"/>
      <w:pPr>
        <w:ind w:left="6342" w:hanging="360"/>
      </w:pPr>
      <w:rPr>
        <w:rFonts w:ascii="Courier New" w:hAnsi="Courier New" w:cs="Courier New" w:hint="default"/>
      </w:rPr>
    </w:lvl>
    <w:lvl w:ilvl="8" w:tplc="240A0005" w:tentative="1">
      <w:start w:val="1"/>
      <w:numFmt w:val="bullet"/>
      <w:lvlText w:val=""/>
      <w:lvlJc w:val="left"/>
      <w:pPr>
        <w:ind w:left="7062" w:hanging="360"/>
      </w:pPr>
      <w:rPr>
        <w:rFonts w:ascii="Wingdings" w:hAnsi="Wingdings" w:hint="default"/>
      </w:rPr>
    </w:lvl>
  </w:abstractNum>
  <w:abstractNum w:abstractNumId="19" w15:restartNumberingAfterBreak="0">
    <w:nsid w:val="4E1E2B6B"/>
    <w:multiLevelType w:val="hybridMultilevel"/>
    <w:tmpl w:val="16FC01AA"/>
    <w:lvl w:ilvl="0" w:tplc="E7621FC4">
      <w:start w:val="1"/>
      <w:numFmt w:val="lowerLetter"/>
      <w:lvlText w:val="%1."/>
      <w:lvlJc w:val="left"/>
      <w:pPr>
        <w:ind w:left="800" w:hanging="360"/>
      </w:pPr>
      <w:rPr>
        <w:rFonts w:hint="default"/>
      </w:rPr>
    </w:lvl>
    <w:lvl w:ilvl="1" w:tplc="240A0019" w:tentative="1">
      <w:start w:val="1"/>
      <w:numFmt w:val="lowerLetter"/>
      <w:lvlText w:val="%2."/>
      <w:lvlJc w:val="left"/>
      <w:pPr>
        <w:ind w:left="1520" w:hanging="360"/>
      </w:pPr>
    </w:lvl>
    <w:lvl w:ilvl="2" w:tplc="240A001B" w:tentative="1">
      <w:start w:val="1"/>
      <w:numFmt w:val="lowerRoman"/>
      <w:lvlText w:val="%3."/>
      <w:lvlJc w:val="right"/>
      <w:pPr>
        <w:ind w:left="2240" w:hanging="180"/>
      </w:pPr>
    </w:lvl>
    <w:lvl w:ilvl="3" w:tplc="240A000F" w:tentative="1">
      <w:start w:val="1"/>
      <w:numFmt w:val="decimal"/>
      <w:lvlText w:val="%4."/>
      <w:lvlJc w:val="left"/>
      <w:pPr>
        <w:ind w:left="2960" w:hanging="360"/>
      </w:pPr>
    </w:lvl>
    <w:lvl w:ilvl="4" w:tplc="240A0019" w:tentative="1">
      <w:start w:val="1"/>
      <w:numFmt w:val="lowerLetter"/>
      <w:lvlText w:val="%5."/>
      <w:lvlJc w:val="left"/>
      <w:pPr>
        <w:ind w:left="3680" w:hanging="360"/>
      </w:pPr>
    </w:lvl>
    <w:lvl w:ilvl="5" w:tplc="240A001B" w:tentative="1">
      <w:start w:val="1"/>
      <w:numFmt w:val="lowerRoman"/>
      <w:lvlText w:val="%6."/>
      <w:lvlJc w:val="right"/>
      <w:pPr>
        <w:ind w:left="4400" w:hanging="180"/>
      </w:pPr>
    </w:lvl>
    <w:lvl w:ilvl="6" w:tplc="240A000F" w:tentative="1">
      <w:start w:val="1"/>
      <w:numFmt w:val="decimal"/>
      <w:lvlText w:val="%7."/>
      <w:lvlJc w:val="left"/>
      <w:pPr>
        <w:ind w:left="5120" w:hanging="360"/>
      </w:pPr>
    </w:lvl>
    <w:lvl w:ilvl="7" w:tplc="240A0019" w:tentative="1">
      <w:start w:val="1"/>
      <w:numFmt w:val="lowerLetter"/>
      <w:lvlText w:val="%8."/>
      <w:lvlJc w:val="left"/>
      <w:pPr>
        <w:ind w:left="5840" w:hanging="360"/>
      </w:pPr>
    </w:lvl>
    <w:lvl w:ilvl="8" w:tplc="240A001B" w:tentative="1">
      <w:start w:val="1"/>
      <w:numFmt w:val="lowerRoman"/>
      <w:lvlText w:val="%9."/>
      <w:lvlJc w:val="right"/>
      <w:pPr>
        <w:ind w:left="6560" w:hanging="180"/>
      </w:pPr>
    </w:lvl>
  </w:abstractNum>
  <w:abstractNum w:abstractNumId="20" w15:restartNumberingAfterBreak="0">
    <w:nsid w:val="54A16040"/>
    <w:multiLevelType w:val="hybridMultilevel"/>
    <w:tmpl w:val="66C65286"/>
    <w:lvl w:ilvl="0" w:tplc="240A0001">
      <w:start w:val="1"/>
      <w:numFmt w:val="bullet"/>
      <w:lvlText w:val=""/>
      <w:lvlJc w:val="left"/>
      <w:pPr>
        <w:ind w:left="1080" w:hanging="360"/>
      </w:pPr>
      <w:rPr>
        <w:rFonts w:ascii="Symbol" w:hAnsi="Symbol" w:hint="default"/>
        <w:b/>
        <w:color w:val="auto"/>
        <w:sz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573E205B"/>
    <w:multiLevelType w:val="hybridMultilevel"/>
    <w:tmpl w:val="1E726F90"/>
    <w:lvl w:ilvl="0" w:tplc="318AFCF6">
      <w:start w:val="6"/>
      <w:numFmt w:val="bullet"/>
      <w:lvlText w:val=""/>
      <w:lvlJc w:val="left"/>
      <w:pPr>
        <w:ind w:left="836" w:hanging="360"/>
      </w:pPr>
      <w:rPr>
        <w:rFonts w:ascii="Symbol" w:eastAsia="Arial" w:hAnsi="Symbol" w:cs="Arial" w:hint="default"/>
      </w:rPr>
    </w:lvl>
    <w:lvl w:ilvl="1" w:tplc="240A0003" w:tentative="1">
      <w:start w:val="1"/>
      <w:numFmt w:val="bullet"/>
      <w:lvlText w:val="o"/>
      <w:lvlJc w:val="left"/>
      <w:pPr>
        <w:ind w:left="1556" w:hanging="360"/>
      </w:pPr>
      <w:rPr>
        <w:rFonts w:ascii="Courier New" w:hAnsi="Courier New" w:cs="Courier New" w:hint="default"/>
      </w:rPr>
    </w:lvl>
    <w:lvl w:ilvl="2" w:tplc="240A0005" w:tentative="1">
      <w:start w:val="1"/>
      <w:numFmt w:val="bullet"/>
      <w:lvlText w:val=""/>
      <w:lvlJc w:val="left"/>
      <w:pPr>
        <w:ind w:left="2276" w:hanging="360"/>
      </w:pPr>
      <w:rPr>
        <w:rFonts w:ascii="Wingdings" w:hAnsi="Wingdings" w:hint="default"/>
      </w:rPr>
    </w:lvl>
    <w:lvl w:ilvl="3" w:tplc="240A0001" w:tentative="1">
      <w:start w:val="1"/>
      <w:numFmt w:val="bullet"/>
      <w:lvlText w:val=""/>
      <w:lvlJc w:val="left"/>
      <w:pPr>
        <w:ind w:left="2996" w:hanging="360"/>
      </w:pPr>
      <w:rPr>
        <w:rFonts w:ascii="Symbol" w:hAnsi="Symbol" w:hint="default"/>
      </w:rPr>
    </w:lvl>
    <w:lvl w:ilvl="4" w:tplc="240A0003" w:tentative="1">
      <w:start w:val="1"/>
      <w:numFmt w:val="bullet"/>
      <w:lvlText w:val="o"/>
      <w:lvlJc w:val="left"/>
      <w:pPr>
        <w:ind w:left="3716" w:hanging="360"/>
      </w:pPr>
      <w:rPr>
        <w:rFonts w:ascii="Courier New" w:hAnsi="Courier New" w:cs="Courier New" w:hint="default"/>
      </w:rPr>
    </w:lvl>
    <w:lvl w:ilvl="5" w:tplc="240A0005" w:tentative="1">
      <w:start w:val="1"/>
      <w:numFmt w:val="bullet"/>
      <w:lvlText w:val=""/>
      <w:lvlJc w:val="left"/>
      <w:pPr>
        <w:ind w:left="4436" w:hanging="360"/>
      </w:pPr>
      <w:rPr>
        <w:rFonts w:ascii="Wingdings" w:hAnsi="Wingdings" w:hint="default"/>
      </w:rPr>
    </w:lvl>
    <w:lvl w:ilvl="6" w:tplc="240A0001" w:tentative="1">
      <w:start w:val="1"/>
      <w:numFmt w:val="bullet"/>
      <w:lvlText w:val=""/>
      <w:lvlJc w:val="left"/>
      <w:pPr>
        <w:ind w:left="5156" w:hanging="360"/>
      </w:pPr>
      <w:rPr>
        <w:rFonts w:ascii="Symbol" w:hAnsi="Symbol" w:hint="default"/>
      </w:rPr>
    </w:lvl>
    <w:lvl w:ilvl="7" w:tplc="240A0003" w:tentative="1">
      <w:start w:val="1"/>
      <w:numFmt w:val="bullet"/>
      <w:lvlText w:val="o"/>
      <w:lvlJc w:val="left"/>
      <w:pPr>
        <w:ind w:left="5876" w:hanging="360"/>
      </w:pPr>
      <w:rPr>
        <w:rFonts w:ascii="Courier New" w:hAnsi="Courier New" w:cs="Courier New" w:hint="default"/>
      </w:rPr>
    </w:lvl>
    <w:lvl w:ilvl="8" w:tplc="240A0005" w:tentative="1">
      <w:start w:val="1"/>
      <w:numFmt w:val="bullet"/>
      <w:lvlText w:val=""/>
      <w:lvlJc w:val="left"/>
      <w:pPr>
        <w:ind w:left="6596" w:hanging="360"/>
      </w:pPr>
      <w:rPr>
        <w:rFonts w:ascii="Wingdings" w:hAnsi="Wingdings" w:hint="default"/>
      </w:rPr>
    </w:lvl>
  </w:abstractNum>
  <w:abstractNum w:abstractNumId="22" w15:restartNumberingAfterBreak="0">
    <w:nsid w:val="5915510F"/>
    <w:multiLevelType w:val="multilevel"/>
    <w:tmpl w:val="126281C0"/>
    <w:lvl w:ilvl="0">
      <w:start w:val="1"/>
      <w:numFmt w:val="decimal"/>
      <w:lvlText w:val="%1."/>
      <w:lvlJc w:val="left"/>
      <w:pPr>
        <w:ind w:left="720" w:hanging="360"/>
      </w:pPr>
      <w:rPr>
        <w:rFonts w:hint="default"/>
        <w:b/>
      </w:rPr>
    </w:lvl>
    <w:lvl w:ilvl="1">
      <w:start w:val="1"/>
      <w:numFmt w:val="decimal"/>
      <w:isLgl/>
      <w:lvlText w:val="%1.%2"/>
      <w:lvlJc w:val="left"/>
      <w:pPr>
        <w:ind w:left="2487"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98E64D3"/>
    <w:multiLevelType w:val="hybridMultilevel"/>
    <w:tmpl w:val="9834A4CA"/>
    <w:lvl w:ilvl="0" w:tplc="4134CFAC">
      <w:start w:val="5"/>
      <w:numFmt w:val="bullet"/>
      <w:lvlText w:val="-"/>
      <w:lvlJc w:val="left"/>
      <w:pPr>
        <w:ind w:left="836" w:hanging="360"/>
      </w:pPr>
      <w:rPr>
        <w:rFonts w:ascii="Arial Narrow" w:eastAsia="Calibri" w:hAnsi="Arial Narrow" w:cs="Arial" w:hint="default"/>
      </w:rPr>
    </w:lvl>
    <w:lvl w:ilvl="1" w:tplc="240A0003" w:tentative="1">
      <w:start w:val="1"/>
      <w:numFmt w:val="bullet"/>
      <w:lvlText w:val="o"/>
      <w:lvlJc w:val="left"/>
      <w:pPr>
        <w:ind w:left="1556" w:hanging="360"/>
      </w:pPr>
      <w:rPr>
        <w:rFonts w:ascii="Courier New" w:hAnsi="Courier New" w:cs="Courier New" w:hint="default"/>
      </w:rPr>
    </w:lvl>
    <w:lvl w:ilvl="2" w:tplc="240A0005" w:tentative="1">
      <w:start w:val="1"/>
      <w:numFmt w:val="bullet"/>
      <w:lvlText w:val=""/>
      <w:lvlJc w:val="left"/>
      <w:pPr>
        <w:ind w:left="2276" w:hanging="360"/>
      </w:pPr>
      <w:rPr>
        <w:rFonts w:ascii="Wingdings" w:hAnsi="Wingdings" w:hint="default"/>
      </w:rPr>
    </w:lvl>
    <w:lvl w:ilvl="3" w:tplc="240A0001" w:tentative="1">
      <w:start w:val="1"/>
      <w:numFmt w:val="bullet"/>
      <w:lvlText w:val=""/>
      <w:lvlJc w:val="left"/>
      <w:pPr>
        <w:ind w:left="2996" w:hanging="360"/>
      </w:pPr>
      <w:rPr>
        <w:rFonts w:ascii="Symbol" w:hAnsi="Symbol" w:hint="default"/>
      </w:rPr>
    </w:lvl>
    <w:lvl w:ilvl="4" w:tplc="240A0003" w:tentative="1">
      <w:start w:val="1"/>
      <w:numFmt w:val="bullet"/>
      <w:lvlText w:val="o"/>
      <w:lvlJc w:val="left"/>
      <w:pPr>
        <w:ind w:left="3716" w:hanging="360"/>
      </w:pPr>
      <w:rPr>
        <w:rFonts w:ascii="Courier New" w:hAnsi="Courier New" w:cs="Courier New" w:hint="default"/>
      </w:rPr>
    </w:lvl>
    <w:lvl w:ilvl="5" w:tplc="240A0005" w:tentative="1">
      <w:start w:val="1"/>
      <w:numFmt w:val="bullet"/>
      <w:lvlText w:val=""/>
      <w:lvlJc w:val="left"/>
      <w:pPr>
        <w:ind w:left="4436" w:hanging="360"/>
      </w:pPr>
      <w:rPr>
        <w:rFonts w:ascii="Wingdings" w:hAnsi="Wingdings" w:hint="default"/>
      </w:rPr>
    </w:lvl>
    <w:lvl w:ilvl="6" w:tplc="240A0001" w:tentative="1">
      <w:start w:val="1"/>
      <w:numFmt w:val="bullet"/>
      <w:lvlText w:val=""/>
      <w:lvlJc w:val="left"/>
      <w:pPr>
        <w:ind w:left="5156" w:hanging="360"/>
      </w:pPr>
      <w:rPr>
        <w:rFonts w:ascii="Symbol" w:hAnsi="Symbol" w:hint="default"/>
      </w:rPr>
    </w:lvl>
    <w:lvl w:ilvl="7" w:tplc="240A0003" w:tentative="1">
      <w:start w:val="1"/>
      <w:numFmt w:val="bullet"/>
      <w:lvlText w:val="o"/>
      <w:lvlJc w:val="left"/>
      <w:pPr>
        <w:ind w:left="5876" w:hanging="360"/>
      </w:pPr>
      <w:rPr>
        <w:rFonts w:ascii="Courier New" w:hAnsi="Courier New" w:cs="Courier New" w:hint="default"/>
      </w:rPr>
    </w:lvl>
    <w:lvl w:ilvl="8" w:tplc="240A0005" w:tentative="1">
      <w:start w:val="1"/>
      <w:numFmt w:val="bullet"/>
      <w:lvlText w:val=""/>
      <w:lvlJc w:val="left"/>
      <w:pPr>
        <w:ind w:left="6596" w:hanging="360"/>
      </w:pPr>
      <w:rPr>
        <w:rFonts w:ascii="Wingdings" w:hAnsi="Wingdings" w:hint="default"/>
      </w:rPr>
    </w:lvl>
  </w:abstractNum>
  <w:abstractNum w:abstractNumId="24" w15:restartNumberingAfterBreak="0">
    <w:nsid w:val="59C65AD6"/>
    <w:multiLevelType w:val="multilevel"/>
    <w:tmpl w:val="B81695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832274"/>
    <w:multiLevelType w:val="multilevel"/>
    <w:tmpl w:val="C916CC5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6" w15:restartNumberingAfterBreak="0">
    <w:nsid w:val="6B9A3FC3"/>
    <w:multiLevelType w:val="hybridMultilevel"/>
    <w:tmpl w:val="B78C174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7" w15:restartNumberingAfterBreak="0">
    <w:nsid w:val="6C764208"/>
    <w:multiLevelType w:val="multilevel"/>
    <w:tmpl w:val="203AC0DE"/>
    <w:styleLink w:val="Listaactual2"/>
    <w:lvl w:ilvl="0">
      <w:start w:val="3"/>
      <w:numFmt w:val="decimal"/>
      <w:lvlText w:val="%1"/>
      <w:lvlJc w:val="left"/>
      <w:pPr>
        <w:ind w:left="2007" w:hanging="360"/>
      </w:pPr>
      <w:rPr>
        <w:rFonts w:hint="default"/>
      </w:rPr>
    </w:lvl>
    <w:lvl w:ilvl="1">
      <w:start w:val="7"/>
      <w:numFmt w:val="decimal"/>
      <w:isLgl/>
      <w:lvlText w:val="%1.%2."/>
      <w:lvlJc w:val="left"/>
      <w:pPr>
        <w:ind w:left="2037" w:hanging="39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1080"/>
      </w:pPr>
      <w:rPr>
        <w:rFonts w:hint="default"/>
      </w:rPr>
    </w:lvl>
    <w:lvl w:ilvl="5">
      <w:start w:val="1"/>
      <w:numFmt w:val="decimal"/>
      <w:isLgl/>
      <w:lvlText w:val="%1.%2.%3.%4.%5.%6."/>
      <w:lvlJc w:val="left"/>
      <w:pPr>
        <w:ind w:left="2727" w:hanging="1080"/>
      </w:pPr>
      <w:rPr>
        <w:rFonts w:hint="default"/>
      </w:rPr>
    </w:lvl>
    <w:lvl w:ilvl="6">
      <w:start w:val="1"/>
      <w:numFmt w:val="decimal"/>
      <w:isLgl/>
      <w:lvlText w:val="%1.%2.%3.%4.%5.%6.%7."/>
      <w:lvlJc w:val="left"/>
      <w:pPr>
        <w:ind w:left="2727" w:hanging="1080"/>
      </w:pPr>
      <w:rPr>
        <w:rFonts w:hint="default"/>
      </w:rPr>
    </w:lvl>
    <w:lvl w:ilvl="7">
      <w:start w:val="1"/>
      <w:numFmt w:val="decimal"/>
      <w:isLgl/>
      <w:lvlText w:val="%1.%2.%3.%4.%5.%6.%7.%8."/>
      <w:lvlJc w:val="left"/>
      <w:pPr>
        <w:ind w:left="3087" w:hanging="1440"/>
      </w:pPr>
      <w:rPr>
        <w:rFonts w:hint="default"/>
      </w:rPr>
    </w:lvl>
    <w:lvl w:ilvl="8">
      <w:start w:val="1"/>
      <w:numFmt w:val="decimal"/>
      <w:isLgl/>
      <w:lvlText w:val="%1.%2.%3.%4.%5.%6.%7.%8.%9."/>
      <w:lvlJc w:val="left"/>
      <w:pPr>
        <w:ind w:left="3087" w:hanging="1440"/>
      </w:pPr>
      <w:rPr>
        <w:rFonts w:hint="default"/>
      </w:rPr>
    </w:lvl>
  </w:abstractNum>
  <w:abstractNum w:abstractNumId="28" w15:restartNumberingAfterBreak="0">
    <w:nsid w:val="6E9A55B4"/>
    <w:multiLevelType w:val="hybridMultilevel"/>
    <w:tmpl w:val="9FC033CA"/>
    <w:lvl w:ilvl="0" w:tplc="124E782A">
      <w:start w:val="1"/>
      <w:numFmt w:val="bullet"/>
      <w:lvlText w:val="-"/>
      <w:lvlJc w:val="left"/>
      <w:pPr>
        <w:ind w:left="130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240A0003" w:tentative="1">
      <w:start w:val="1"/>
      <w:numFmt w:val="bullet"/>
      <w:lvlText w:val="o"/>
      <w:lvlJc w:val="left"/>
      <w:pPr>
        <w:ind w:left="2026" w:hanging="360"/>
      </w:pPr>
      <w:rPr>
        <w:rFonts w:ascii="Courier New" w:hAnsi="Courier New" w:cs="Courier New" w:hint="default"/>
      </w:rPr>
    </w:lvl>
    <w:lvl w:ilvl="2" w:tplc="240A0005" w:tentative="1">
      <w:start w:val="1"/>
      <w:numFmt w:val="bullet"/>
      <w:lvlText w:val=""/>
      <w:lvlJc w:val="left"/>
      <w:pPr>
        <w:ind w:left="2746" w:hanging="360"/>
      </w:pPr>
      <w:rPr>
        <w:rFonts w:ascii="Wingdings" w:hAnsi="Wingdings" w:hint="default"/>
      </w:rPr>
    </w:lvl>
    <w:lvl w:ilvl="3" w:tplc="240A0001" w:tentative="1">
      <w:start w:val="1"/>
      <w:numFmt w:val="bullet"/>
      <w:lvlText w:val=""/>
      <w:lvlJc w:val="left"/>
      <w:pPr>
        <w:ind w:left="3466" w:hanging="360"/>
      </w:pPr>
      <w:rPr>
        <w:rFonts w:ascii="Symbol" w:hAnsi="Symbol" w:hint="default"/>
      </w:rPr>
    </w:lvl>
    <w:lvl w:ilvl="4" w:tplc="240A0003" w:tentative="1">
      <w:start w:val="1"/>
      <w:numFmt w:val="bullet"/>
      <w:lvlText w:val="o"/>
      <w:lvlJc w:val="left"/>
      <w:pPr>
        <w:ind w:left="4186" w:hanging="360"/>
      </w:pPr>
      <w:rPr>
        <w:rFonts w:ascii="Courier New" w:hAnsi="Courier New" w:cs="Courier New" w:hint="default"/>
      </w:rPr>
    </w:lvl>
    <w:lvl w:ilvl="5" w:tplc="240A0005" w:tentative="1">
      <w:start w:val="1"/>
      <w:numFmt w:val="bullet"/>
      <w:lvlText w:val=""/>
      <w:lvlJc w:val="left"/>
      <w:pPr>
        <w:ind w:left="4906" w:hanging="360"/>
      </w:pPr>
      <w:rPr>
        <w:rFonts w:ascii="Wingdings" w:hAnsi="Wingdings" w:hint="default"/>
      </w:rPr>
    </w:lvl>
    <w:lvl w:ilvl="6" w:tplc="240A0001" w:tentative="1">
      <w:start w:val="1"/>
      <w:numFmt w:val="bullet"/>
      <w:lvlText w:val=""/>
      <w:lvlJc w:val="left"/>
      <w:pPr>
        <w:ind w:left="5626" w:hanging="360"/>
      </w:pPr>
      <w:rPr>
        <w:rFonts w:ascii="Symbol" w:hAnsi="Symbol" w:hint="default"/>
      </w:rPr>
    </w:lvl>
    <w:lvl w:ilvl="7" w:tplc="240A0003" w:tentative="1">
      <w:start w:val="1"/>
      <w:numFmt w:val="bullet"/>
      <w:lvlText w:val="o"/>
      <w:lvlJc w:val="left"/>
      <w:pPr>
        <w:ind w:left="6346" w:hanging="360"/>
      </w:pPr>
      <w:rPr>
        <w:rFonts w:ascii="Courier New" w:hAnsi="Courier New" w:cs="Courier New" w:hint="default"/>
      </w:rPr>
    </w:lvl>
    <w:lvl w:ilvl="8" w:tplc="240A0005" w:tentative="1">
      <w:start w:val="1"/>
      <w:numFmt w:val="bullet"/>
      <w:lvlText w:val=""/>
      <w:lvlJc w:val="left"/>
      <w:pPr>
        <w:ind w:left="7066" w:hanging="360"/>
      </w:pPr>
      <w:rPr>
        <w:rFonts w:ascii="Wingdings" w:hAnsi="Wingdings" w:hint="default"/>
      </w:rPr>
    </w:lvl>
  </w:abstractNum>
  <w:abstractNum w:abstractNumId="29" w15:restartNumberingAfterBreak="0">
    <w:nsid w:val="70FB17AF"/>
    <w:multiLevelType w:val="multilevel"/>
    <w:tmpl w:val="B81695D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E46414"/>
    <w:multiLevelType w:val="multilevel"/>
    <w:tmpl w:val="66428CE8"/>
    <w:lvl w:ilvl="0">
      <w:start w:val="3"/>
      <w:numFmt w:val="decimal"/>
      <w:lvlText w:val="%1"/>
      <w:lvlJc w:val="left"/>
      <w:pPr>
        <w:ind w:left="2007" w:hanging="360"/>
      </w:pPr>
      <w:rPr>
        <w:rFonts w:hint="default"/>
      </w:rPr>
    </w:lvl>
    <w:lvl w:ilvl="1">
      <w:start w:val="7"/>
      <w:numFmt w:val="decimal"/>
      <w:isLgl/>
      <w:lvlText w:val="%1.%2."/>
      <w:lvlJc w:val="left"/>
      <w:pPr>
        <w:ind w:left="1701" w:hanging="454"/>
      </w:pPr>
      <w:rPr>
        <w:rFonts w:hint="default"/>
        <w:b w:val="0"/>
        <w:bCs w:val="0"/>
      </w:rPr>
    </w:lvl>
    <w:lvl w:ilvl="2">
      <w:start w:val="1"/>
      <w:numFmt w:val="decimal"/>
      <w:isLgl/>
      <w:lvlText w:val="%1.%2.%3."/>
      <w:lvlJc w:val="left"/>
      <w:pPr>
        <w:ind w:left="236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1080"/>
      </w:pPr>
      <w:rPr>
        <w:rFonts w:hint="default"/>
      </w:rPr>
    </w:lvl>
    <w:lvl w:ilvl="5">
      <w:start w:val="1"/>
      <w:numFmt w:val="decimal"/>
      <w:isLgl/>
      <w:lvlText w:val="%1.%2.%3.%4.%5.%6."/>
      <w:lvlJc w:val="left"/>
      <w:pPr>
        <w:ind w:left="2727" w:hanging="1080"/>
      </w:pPr>
      <w:rPr>
        <w:rFonts w:hint="default"/>
      </w:rPr>
    </w:lvl>
    <w:lvl w:ilvl="6">
      <w:start w:val="1"/>
      <w:numFmt w:val="decimal"/>
      <w:isLgl/>
      <w:lvlText w:val="%1.%2.%3.%4.%5.%6.%7."/>
      <w:lvlJc w:val="left"/>
      <w:pPr>
        <w:ind w:left="2727" w:hanging="1080"/>
      </w:pPr>
      <w:rPr>
        <w:rFonts w:hint="default"/>
      </w:rPr>
    </w:lvl>
    <w:lvl w:ilvl="7">
      <w:start w:val="1"/>
      <w:numFmt w:val="decimal"/>
      <w:isLgl/>
      <w:lvlText w:val="%1.%2.%3.%4.%5.%6.%7.%8."/>
      <w:lvlJc w:val="left"/>
      <w:pPr>
        <w:ind w:left="3087" w:hanging="1440"/>
      </w:pPr>
      <w:rPr>
        <w:rFonts w:hint="default"/>
      </w:rPr>
    </w:lvl>
    <w:lvl w:ilvl="8">
      <w:start w:val="1"/>
      <w:numFmt w:val="decimal"/>
      <w:isLgl/>
      <w:lvlText w:val="%1.%2.%3.%4.%5.%6.%7.%8.%9."/>
      <w:lvlJc w:val="left"/>
      <w:pPr>
        <w:ind w:left="3087" w:hanging="1440"/>
      </w:pPr>
      <w:rPr>
        <w:rFonts w:hint="default"/>
      </w:rPr>
    </w:lvl>
  </w:abstractNum>
  <w:abstractNum w:abstractNumId="31" w15:restartNumberingAfterBreak="0">
    <w:nsid w:val="774E3C3D"/>
    <w:multiLevelType w:val="multilevel"/>
    <w:tmpl w:val="D054BB0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661249"/>
    <w:multiLevelType w:val="hybridMultilevel"/>
    <w:tmpl w:val="466CF222"/>
    <w:lvl w:ilvl="0" w:tplc="818668A4">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9C434F1"/>
    <w:multiLevelType w:val="hybridMultilevel"/>
    <w:tmpl w:val="2D80E00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7AAC6BAE"/>
    <w:multiLevelType w:val="hybridMultilevel"/>
    <w:tmpl w:val="674C2D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E944EFC"/>
    <w:multiLevelType w:val="hybridMultilevel"/>
    <w:tmpl w:val="4E986DBA"/>
    <w:lvl w:ilvl="0" w:tplc="5B08B498">
      <w:start w:val="1"/>
      <w:numFmt w:val="bullet"/>
      <w:lvlText w:val="-"/>
      <w:lvlJc w:val="left"/>
      <w:pPr>
        <w:ind w:left="720" w:hanging="360"/>
      </w:pPr>
      <w:rPr>
        <w:rFonts w:ascii="Times New Roman" w:eastAsia="Times New Roman" w:hAnsi="Times New Roman" w:cs="Times New Roman" w:hint="default"/>
        <w:b w:val="0"/>
        <w:bCs/>
        <w:i w:val="0"/>
        <w:strike w:val="0"/>
        <w:dstrike w:val="0"/>
        <w:color w:val="000000"/>
        <w:sz w:val="20"/>
        <w:szCs w:val="20"/>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FE6785C"/>
    <w:multiLevelType w:val="multilevel"/>
    <w:tmpl w:val="126281C0"/>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0488371">
    <w:abstractNumId w:val="15"/>
  </w:num>
  <w:num w:numId="2" w16cid:durableId="156189747">
    <w:abstractNumId w:val="1"/>
  </w:num>
  <w:num w:numId="3" w16cid:durableId="1495142705">
    <w:abstractNumId w:val="33"/>
  </w:num>
  <w:num w:numId="4" w16cid:durableId="828449113">
    <w:abstractNumId w:val="26"/>
  </w:num>
  <w:num w:numId="5" w16cid:durableId="993948031">
    <w:abstractNumId w:val="28"/>
  </w:num>
  <w:num w:numId="6" w16cid:durableId="1682467252">
    <w:abstractNumId w:val="34"/>
  </w:num>
  <w:num w:numId="7" w16cid:durableId="977223926">
    <w:abstractNumId w:val="6"/>
  </w:num>
  <w:num w:numId="8" w16cid:durableId="1639603780">
    <w:abstractNumId w:val="10"/>
  </w:num>
  <w:num w:numId="9" w16cid:durableId="687684533">
    <w:abstractNumId w:val="30"/>
  </w:num>
  <w:num w:numId="10" w16cid:durableId="921184829">
    <w:abstractNumId w:val="27"/>
  </w:num>
  <w:num w:numId="11" w16cid:durableId="1419399934">
    <w:abstractNumId w:val="14"/>
  </w:num>
  <w:num w:numId="12" w16cid:durableId="563180947">
    <w:abstractNumId w:val="13"/>
  </w:num>
  <w:num w:numId="13" w16cid:durableId="1771006611">
    <w:abstractNumId w:val="3"/>
  </w:num>
  <w:num w:numId="14" w16cid:durableId="1650011894">
    <w:abstractNumId w:val="21"/>
  </w:num>
  <w:num w:numId="15" w16cid:durableId="713777930">
    <w:abstractNumId w:val="12"/>
  </w:num>
  <w:num w:numId="16" w16cid:durableId="1175462993">
    <w:abstractNumId w:val="36"/>
  </w:num>
  <w:num w:numId="17" w16cid:durableId="1815219680">
    <w:abstractNumId w:val="2"/>
  </w:num>
  <w:num w:numId="18" w16cid:durableId="27721887">
    <w:abstractNumId w:val="17"/>
  </w:num>
  <w:num w:numId="19" w16cid:durableId="2144348486">
    <w:abstractNumId w:val="11"/>
  </w:num>
  <w:num w:numId="20" w16cid:durableId="1274703736">
    <w:abstractNumId w:val="29"/>
  </w:num>
  <w:num w:numId="21" w16cid:durableId="933172764">
    <w:abstractNumId w:val="7"/>
  </w:num>
  <w:num w:numId="22" w16cid:durableId="1738549834">
    <w:abstractNumId w:val="23"/>
  </w:num>
  <w:num w:numId="23" w16cid:durableId="642004471">
    <w:abstractNumId w:val="16"/>
  </w:num>
  <w:num w:numId="24" w16cid:durableId="667293076">
    <w:abstractNumId w:val="35"/>
  </w:num>
  <w:num w:numId="25" w16cid:durableId="1868985642">
    <w:abstractNumId w:val="5"/>
  </w:num>
  <w:num w:numId="26" w16cid:durableId="496658066">
    <w:abstractNumId w:val="31"/>
  </w:num>
  <w:num w:numId="27" w16cid:durableId="193348792">
    <w:abstractNumId w:val="9"/>
  </w:num>
  <w:num w:numId="28" w16cid:durableId="220023530">
    <w:abstractNumId w:val="18"/>
  </w:num>
  <w:num w:numId="29" w16cid:durableId="1040518530">
    <w:abstractNumId w:val="25"/>
  </w:num>
  <w:num w:numId="30" w16cid:durableId="2056267683">
    <w:abstractNumId w:val="24"/>
  </w:num>
  <w:num w:numId="31" w16cid:durableId="1646158347">
    <w:abstractNumId w:val="4"/>
  </w:num>
  <w:num w:numId="32" w16cid:durableId="1833369713">
    <w:abstractNumId w:val="22"/>
  </w:num>
  <w:num w:numId="33" w16cid:durableId="3090707">
    <w:abstractNumId w:val="32"/>
  </w:num>
  <w:num w:numId="34" w16cid:durableId="80764518">
    <w:abstractNumId w:val="20"/>
  </w:num>
  <w:num w:numId="35" w16cid:durableId="981230191">
    <w:abstractNumId w:val="8"/>
  </w:num>
  <w:num w:numId="36" w16cid:durableId="925262791">
    <w:abstractNumId w:val="0"/>
  </w:num>
  <w:num w:numId="37" w16cid:durableId="91956472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478"/>
    <w:rsid w:val="00000330"/>
    <w:rsid w:val="00001806"/>
    <w:rsid w:val="00002BC0"/>
    <w:rsid w:val="00003449"/>
    <w:rsid w:val="000037DA"/>
    <w:rsid w:val="00005798"/>
    <w:rsid w:val="00005D42"/>
    <w:rsid w:val="0000761F"/>
    <w:rsid w:val="00007B65"/>
    <w:rsid w:val="00010BA0"/>
    <w:rsid w:val="00010CF2"/>
    <w:rsid w:val="00014234"/>
    <w:rsid w:val="00015067"/>
    <w:rsid w:val="00015089"/>
    <w:rsid w:val="00016B6C"/>
    <w:rsid w:val="0001730E"/>
    <w:rsid w:val="00020043"/>
    <w:rsid w:val="0002025F"/>
    <w:rsid w:val="00021AC5"/>
    <w:rsid w:val="00022068"/>
    <w:rsid w:val="00022F57"/>
    <w:rsid w:val="000239C5"/>
    <w:rsid w:val="0002427D"/>
    <w:rsid w:val="00025259"/>
    <w:rsid w:val="000274F4"/>
    <w:rsid w:val="00027861"/>
    <w:rsid w:val="00027B2B"/>
    <w:rsid w:val="00030091"/>
    <w:rsid w:val="00031177"/>
    <w:rsid w:val="00031AAA"/>
    <w:rsid w:val="00032F44"/>
    <w:rsid w:val="000332D7"/>
    <w:rsid w:val="00033DD4"/>
    <w:rsid w:val="00034DFC"/>
    <w:rsid w:val="00035D93"/>
    <w:rsid w:val="000361D6"/>
    <w:rsid w:val="0003798C"/>
    <w:rsid w:val="00041328"/>
    <w:rsid w:val="00044139"/>
    <w:rsid w:val="0004565E"/>
    <w:rsid w:val="000460EA"/>
    <w:rsid w:val="000469B2"/>
    <w:rsid w:val="00046D2B"/>
    <w:rsid w:val="00050D2F"/>
    <w:rsid w:val="00051149"/>
    <w:rsid w:val="0005130F"/>
    <w:rsid w:val="00052B01"/>
    <w:rsid w:val="000547F1"/>
    <w:rsid w:val="00054DCB"/>
    <w:rsid w:val="000552D0"/>
    <w:rsid w:val="0005601E"/>
    <w:rsid w:val="00056202"/>
    <w:rsid w:val="000570BA"/>
    <w:rsid w:val="0006040B"/>
    <w:rsid w:val="0006085E"/>
    <w:rsid w:val="00061090"/>
    <w:rsid w:val="0006179B"/>
    <w:rsid w:val="000619FE"/>
    <w:rsid w:val="00061C8B"/>
    <w:rsid w:val="00066385"/>
    <w:rsid w:val="00066488"/>
    <w:rsid w:val="000674F0"/>
    <w:rsid w:val="00070215"/>
    <w:rsid w:val="0007022A"/>
    <w:rsid w:val="000702AC"/>
    <w:rsid w:val="000704A3"/>
    <w:rsid w:val="00070F3B"/>
    <w:rsid w:val="00071F33"/>
    <w:rsid w:val="0007261C"/>
    <w:rsid w:val="000731E9"/>
    <w:rsid w:val="00074322"/>
    <w:rsid w:val="00074BEC"/>
    <w:rsid w:val="00076BBB"/>
    <w:rsid w:val="0008022A"/>
    <w:rsid w:val="00080746"/>
    <w:rsid w:val="000809FA"/>
    <w:rsid w:val="00080B64"/>
    <w:rsid w:val="00081B53"/>
    <w:rsid w:val="00083FA4"/>
    <w:rsid w:val="00084198"/>
    <w:rsid w:val="00085E20"/>
    <w:rsid w:val="000862F9"/>
    <w:rsid w:val="000864DC"/>
    <w:rsid w:val="000901A0"/>
    <w:rsid w:val="00091588"/>
    <w:rsid w:val="00091DA0"/>
    <w:rsid w:val="00093645"/>
    <w:rsid w:val="000946E1"/>
    <w:rsid w:val="000956A9"/>
    <w:rsid w:val="00096026"/>
    <w:rsid w:val="0009672F"/>
    <w:rsid w:val="000967D6"/>
    <w:rsid w:val="00096BCC"/>
    <w:rsid w:val="0009780B"/>
    <w:rsid w:val="000A28B3"/>
    <w:rsid w:val="000A66EF"/>
    <w:rsid w:val="000B129C"/>
    <w:rsid w:val="000B3165"/>
    <w:rsid w:val="000B35F7"/>
    <w:rsid w:val="000B60D2"/>
    <w:rsid w:val="000B6FAC"/>
    <w:rsid w:val="000C0664"/>
    <w:rsid w:val="000C080E"/>
    <w:rsid w:val="000C0951"/>
    <w:rsid w:val="000C2A2D"/>
    <w:rsid w:val="000C4271"/>
    <w:rsid w:val="000C4E60"/>
    <w:rsid w:val="000C59F5"/>
    <w:rsid w:val="000D03A6"/>
    <w:rsid w:val="000D119A"/>
    <w:rsid w:val="000D133A"/>
    <w:rsid w:val="000D15E8"/>
    <w:rsid w:val="000D26EE"/>
    <w:rsid w:val="000D29A3"/>
    <w:rsid w:val="000D2A1E"/>
    <w:rsid w:val="000D3E11"/>
    <w:rsid w:val="000D3E46"/>
    <w:rsid w:val="000D4D82"/>
    <w:rsid w:val="000D7BF5"/>
    <w:rsid w:val="000E1499"/>
    <w:rsid w:val="000E15D9"/>
    <w:rsid w:val="000E16FB"/>
    <w:rsid w:val="000E1B83"/>
    <w:rsid w:val="000E23B7"/>
    <w:rsid w:val="000E2D89"/>
    <w:rsid w:val="000E3478"/>
    <w:rsid w:val="000E5FB6"/>
    <w:rsid w:val="000E61CF"/>
    <w:rsid w:val="000F03A7"/>
    <w:rsid w:val="000F1E2C"/>
    <w:rsid w:val="000F2F5B"/>
    <w:rsid w:val="000F392E"/>
    <w:rsid w:val="000F517A"/>
    <w:rsid w:val="000F51FC"/>
    <w:rsid w:val="000F5A33"/>
    <w:rsid w:val="000F7971"/>
    <w:rsid w:val="00100C53"/>
    <w:rsid w:val="00100DE5"/>
    <w:rsid w:val="00101CE0"/>
    <w:rsid w:val="001021F4"/>
    <w:rsid w:val="0010395C"/>
    <w:rsid w:val="00104C46"/>
    <w:rsid w:val="00104C57"/>
    <w:rsid w:val="00104FC5"/>
    <w:rsid w:val="00106472"/>
    <w:rsid w:val="00110CF2"/>
    <w:rsid w:val="00113F26"/>
    <w:rsid w:val="00113F72"/>
    <w:rsid w:val="00115D7E"/>
    <w:rsid w:val="00116C61"/>
    <w:rsid w:val="00117EB5"/>
    <w:rsid w:val="00120CEC"/>
    <w:rsid w:val="00120FA2"/>
    <w:rsid w:val="00121309"/>
    <w:rsid w:val="00122CF4"/>
    <w:rsid w:val="00124D58"/>
    <w:rsid w:val="001276AD"/>
    <w:rsid w:val="001315AD"/>
    <w:rsid w:val="00131AF9"/>
    <w:rsid w:val="00131EF1"/>
    <w:rsid w:val="001321BB"/>
    <w:rsid w:val="00132EE7"/>
    <w:rsid w:val="0013356C"/>
    <w:rsid w:val="001343BE"/>
    <w:rsid w:val="00140B1D"/>
    <w:rsid w:val="00141455"/>
    <w:rsid w:val="00143BB5"/>
    <w:rsid w:val="00144A1E"/>
    <w:rsid w:val="001460DB"/>
    <w:rsid w:val="00146B49"/>
    <w:rsid w:val="00147882"/>
    <w:rsid w:val="00147EFE"/>
    <w:rsid w:val="0015132E"/>
    <w:rsid w:val="00153911"/>
    <w:rsid w:val="0015565B"/>
    <w:rsid w:val="00155A4A"/>
    <w:rsid w:val="00155E58"/>
    <w:rsid w:val="00156023"/>
    <w:rsid w:val="00156553"/>
    <w:rsid w:val="00156873"/>
    <w:rsid w:val="001573FB"/>
    <w:rsid w:val="00161AC4"/>
    <w:rsid w:val="00165B48"/>
    <w:rsid w:val="001702F2"/>
    <w:rsid w:val="001703C1"/>
    <w:rsid w:val="0017041B"/>
    <w:rsid w:val="001705E6"/>
    <w:rsid w:val="0017086A"/>
    <w:rsid w:val="001709EE"/>
    <w:rsid w:val="00171079"/>
    <w:rsid w:val="0017165A"/>
    <w:rsid w:val="00172C4F"/>
    <w:rsid w:val="00173C36"/>
    <w:rsid w:val="00175B94"/>
    <w:rsid w:val="00175FD1"/>
    <w:rsid w:val="001771ED"/>
    <w:rsid w:val="00180464"/>
    <w:rsid w:val="00180F0F"/>
    <w:rsid w:val="001818DA"/>
    <w:rsid w:val="00181AB3"/>
    <w:rsid w:val="00182685"/>
    <w:rsid w:val="00182E29"/>
    <w:rsid w:val="00182FAB"/>
    <w:rsid w:val="00183C6F"/>
    <w:rsid w:val="001842B5"/>
    <w:rsid w:val="00185A83"/>
    <w:rsid w:val="0018621F"/>
    <w:rsid w:val="00186295"/>
    <w:rsid w:val="00187FF4"/>
    <w:rsid w:val="0019124B"/>
    <w:rsid w:val="00191AA2"/>
    <w:rsid w:val="00193FB0"/>
    <w:rsid w:val="001942C6"/>
    <w:rsid w:val="00194D89"/>
    <w:rsid w:val="001A0A84"/>
    <w:rsid w:val="001A14B4"/>
    <w:rsid w:val="001A4C68"/>
    <w:rsid w:val="001A6330"/>
    <w:rsid w:val="001A63AD"/>
    <w:rsid w:val="001A7141"/>
    <w:rsid w:val="001A7D91"/>
    <w:rsid w:val="001A7EF5"/>
    <w:rsid w:val="001B0386"/>
    <w:rsid w:val="001B14A8"/>
    <w:rsid w:val="001B1F6B"/>
    <w:rsid w:val="001B2405"/>
    <w:rsid w:val="001B302A"/>
    <w:rsid w:val="001B3307"/>
    <w:rsid w:val="001B4BDB"/>
    <w:rsid w:val="001B574A"/>
    <w:rsid w:val="001B6280"/>
    <w:rsid w:val="001B6D26"/>
    <w:rsid w:val="001B6E88"/>
    <w:rsid w:val="001C0A1A"/>
    <w:rsid w:val="001C0D12"/>
    <w:rsid w:val="001C238F"/>
    <w:rsid w:val="001C2E00"/>
    <w:rsid w:val="001C3991"/>
    <w:rsid w:val="001C4433"/>
    <w:rsid w:val="001C44B9"/>
    <w:rsid w:val="001C5FE6"/>
    <w:rsid w:val="001D0CC7"/>
    <w:rsid w:val="001D0EFC"/>
    <w:rsid w:val="001D1510"/>
    <w:rsid w:val="001D17C1"/>
    <w:rsid w:val="001D1C3A"/>
    <w:rsid w:val="001D22F9"/>
    <w:rsid w:val="001D2AEB"/>
    <w:rsid w:val="001D3DB5"/>
    <w:rsid w:val="001D41A1"/>
    <w:rsid w:val="001D5EAD"/>
    <w:rsid w:val="001D72F5"/>
    <w:rsid w:val="001D7BA2"/>
    <w:rsid w:val="001E0243"/>
    <w:rsid w:val="001E171C"/>
    <w:rsid w:val="001E2E84"/>
    <w:rsid w:val="001E352F"/>
    <w:rsid w:val="001E3F61"/>
    <w:rsid w:val="001E4271"/>
    <w:rsid w:val="001E5AD6"/>
    <w:rsid w:val="001E5E23"/>
    <w:rsid w:val="001E6EF6"/>
    <w:rsid w:val="001F08C4"/>
    <w:rsid w:val="001F3669"/>
    <w:rsid w:val="001F467A"/>
    <w:rsid w:val="001F6AA2"/>
    <w:rsid w:val="001F7F6B"/>
    <w:rsid w:val="002003F6"/>
    <w:rsid w:val="00200D0A"/>
    <w:rsid w:val="002027E0"/>
    <w:rsid w:val="00202E3B"/>
    <w:rsid w:val="00202F3C"/>
    <w:rsid w:val="00203FF6"/>
    <w:rsid w:val="00204BA6"/>
    <w:rsid w:val="00204C4D"/>
    <w:rsid w:val="002053D3"/>
    <w:rsid w:val="0020589A"/>
    <w:rsid w:val="002076FD"/>
    <w:rsid w:val="0020771C"/>
    <w:rsid w:val="00207AA3"/>
    <w:rsid w:val="00210CA1"/>
    <w:rsid w:val="00211F1C"/>
    <w:rsid w:val="00212EB6"/>
    <w:rsid w:val="00213BBD"/>
    <w:rsid w:val="0021469E"/>
    <w:rsid w:val="002149B5"/>
    <w:rsid w:val="00214E54"/>
    <w:rsid w:val="00215121"/>
    <w:rsid w:val="00216953"/>
    <w:rsid w:val="002207EA"/>
    <w:rsid w:val="00222AD7"/>
    <w:rsid w:val="00230495"/>
    <w:rsid w:val="00231BB2"/>
    <w:rsid w:val="00233883"/>
    <w:rsid w:val="00233A5B"/>
    <w:rsid w:val="00233C4A"/>
    <w:rsid w:val="002354FC"/>
    <w:rsid w:val="00236D02"/>
    <w:rsid w:val="002377F0"/>
    <w:rsid w:val="00240B43"/>
    <w:rsid w:val="00240C21"/>
    <w:rsid w:val="002411ED"/>
    <w:rsid w:val="002434CA"/>
    <w:rsid w:val="00243E1A"/>
    <w:rsid w:val="0024480B"/>
    <w:rsid w:val="0024527C"/>
    <w:rsid w:val="0024694C"/>
    <w:rsid w:val="0024754E"/>
    <w:rsid w:val="00250733"/>
    <w:rsid w:val="00251E71"/>
    <w:rsid w:val="00253DB8"/>
    <w:rsid w:val="00254102"/>
    <w:rsid w:val="0025470D"/>
    <w:rsid w:val="002553B6"/>
    <w:rsid w:val="0025576C"/>
    <w:rsid w:val="0025640F"/>
    <w:rsid w:val="0025699A"/>
    <w:rsid w:val="00257C93"/>
    <w:rsid w:val="00260E4D"/>
    <w:rsid w:val="00260F5B"/>
    <w:rsid w:val="00261175"/>
    <w:rsid w:val="0026380F"/>
    <w:rsid w:val="00264FBC"/>
    <w:rsid w:val="00264FD2"/>
    <w:rsid w:val="00265711"/>
    <w:rsid w:val="002667CC"/>
    <w:rsid w:val="002672A0"/>
    <w:rsid w:val="002711D1"/>
    <w:rsid w:val="002732AD"/>
    <w:rsid w:val="0027341E"/>
    <w:rsid w:val="00273F2E"/>
    <w:rsid w:val="00274638"/>
    <w:rsid w:val="00275D72"/>
    <w:rsid w:val="00276086"/>
    <w:rsid w:val="00276C63"/>
    <w:rsid w:val="002802CE"/>
    <w:rsid w:val="00281A0B"/>
    <w:rsid w:val="0028559F"/>
    <w:rsid w:val="00285F46"/>
    <w:rsid w:val="00285FF4"/>
    <w:rsid w:val="00290806"/>
    <w:rsid w:val="00292905"/>
    <w:rsid w:val="00293095"/>
    <w:rsid w:val="002947EE"/>
    <w:rsid w:val="00294E41"/>
    <w:rsid w:val="002951AF"/>
    <w:rsid w:val="00295D37"/>
    <w:rsid w:val="00296694"/>
    <w:rsid w:val="00296A0D"/>
    <w:rsid w:val="002977F9"/>
    <w:rsid w:val="00297BC8"/>
    <w:rsid w:val="002A30F8"/>
    <w:rsid w:val="002A3B78"/>
    <w:rsid w:val="002A3F16"/>
    <w:rsid w:val="002A52EB"/>
    <w:rsid w:val="002A6B8F"/>
    <w:rsid w:val="002A728B"/>
    <w:rsid w:val="002A7ACF"/>
    <w:rsid w:val="002B02B8"/>
    <w:rsid w:val="002B04F9"/>
    <w:rsid w:val="002B1632"/>
    <w:rsid w:val="002B18A7"/>
    <w:rsid w:val="002B3EDB"/>
    <w:rsid w:val="002B460F"/>
    <w:rsid w:val="002B5C89"/>
    <w:rsid w:val="002B62CA"/>
    <w:rsid w:val="002B66B9"/>
    <w:rsid w:val="002B77E2"/>
    <w:rsid w:val="002B7E1E"/>
    <w:rsid w:val="002C2791"/>
    <w:rsid w:val="002C2A0B"/>
    <w:rsid w:val="002C2AFB"/>
    <w:rsid w:val="002C2EC2"/>
    <w:rsid w:val="002C56AC"/>
    <w:rsid w:val="002C56E8"/>
    <w:rsid w:val="002C5DAE"/>
    <w:rsid w:val="002C693F"/>
    <w:rsid w:val="002C7D21"/>
    <w:rsid w:val="002C7F6B"/>
    <w:rsid w:val="002D23A0"/>
    <w:rsid w:val="002D2705"/>
    <w:rsid w:val="002D2718"/>
    <w:rsid w:val="002D34B6"/>
    <w:rsid w:val="002D38A7"/>
    <w:rsid w:val="002D3A3F"/>
    <w:rsid w:val="002D46D3"/>
    <w:rsid w:val="002D4D32"/>
    <w:rsid w:val="002D7667"/>
    <w:rsid w:val="002E031E"/>
    <w:rsid w:val="002E0E85"/>
    <w:rsid w:val="002E12CA"/>
    <w:rsid w:val="002E2A89"/>
    <w:rsid w:val="002E3683"/>
    <w:rsid w:val="002E48DE"/>
    <w:rsid w:val="002E4C27"/>
    <w:rsid w:val="002E5A9B"/>
    <w:rsid w:val="002E5F3A"/>
    <w:rsid w:val="002E7455"/>
    <w:rsid w:val="002F005E"/>
    <w:rsid w:val="002F0576"/>
    <w:rsid w:val="002F0B98"/>
    <w:rsid w:val="002F1181"/>
    <w:rsid w:val="002F230A"/>
    <w:rsid w:val="002F6007"/>
    <w:rsid w:val="002F7346"/>
    <w:rsid w:val="002F7F1F"/>
    <w:rsid w:val="00300B1C"/>
    <w:rsid w:val="003015C4"/>
    <w:rsid w:val="00301E50"/>
    <w:rsid w:val="00304C8B"/>
    <w:rsid w:val="00304CAD"/>
    <w:rsid w:val="00305150"/>
    <w:rsid w:val="003059FC"/>
    <w:rsid w:val="00306E31"/>
    <w:rsid w:val="00307348"/>
    <w:rsid w:val="00307807"/>
    <w:rsid w:val="00307C53"/>
    <w:rsid w:val="00310353"/>
    <w:rsid w:val="00310C30"/>
    <w:rsid w:val="003122B9"/>
    <w:rsid w:val="00312308"/>
    <w:rsid w:val="00312380"/>
    <w:rsid w:val="003132C8"/>
    <w:rsid w:val="00315676"/>
    <w:rsid w:val="003156BC"/>
    <w:rsid w:val="003169FF"/>
    <w:rsid w:val="00317ADF"/>
    <w:rsid w:val="00320A63"/>
    <w:rsid w:val="003212C7"/>
    <w:rsid w:val="00321CDC"/>
    <w:rsid w:val="00324658"/>
    <w:rsid w:val="00325ACF"/>
    <w:rsid w:val="00325F05"/>
    <w:rsid w:val="00326A1D"/>
    <w:rsid w:val="00330B57"/>
    <w:rsid w:val="00331E83"/>
    <w:rsid w:val="00333029"/>
    <w:rsid w:val="00335209"/>
    <w:rsid w:val="0033568E"/>
    <w:rsid w:val="00336085"/>
    <w:rsid w:val="00336152"/>
    <w:rsid w:val="003371B2"/>
    <w:rsid w:val="003372A3"/>
    <w:rsid w:val="00340490"/>
    <w:rsid w:val="00340574"/>
    <w:rsid w:val="00340590"/>
    <w:rsid w:val="0034112D"/>
    <w:rsid w:val="00342A75"/>
    <w:rsid w:val="00343D87"/>
    <w:rsid w:val="00345053"/>
    <w:rsid w:val="00345787"/>
    <w:rsid w:val="0034679A"/>
    <w:rsid w:val="00347BCA"/>
    <w:rsid w:val="00351E33"/>
    <w:rsid w:val="0035248F"/>
    <w:rsid w:val="0035275B"/>
    <w:rsid w:val="0035298C"/>
    <w:rsid w:val="00352BE5"/>
    <w:rsid w:val="00352EBC"/>
    <w:rsid w:val="003532F0"/>
    <w:rsid w:val="00356DF8"/>
    <w:rsid w:val="003602A5"/>
    <w:rsid w:val="0036163B"/>
    <w:rsid w:val="0036201B"/>
    <w:rsid w:val="003622B9"/>
    <w:rsid w:val="00364108"/>
    <w:rsid w:val="00365356"/>
    <w:rsid w:val="00365921"/>
    <w:rsid w:val="003667ED"/>
    <w:rsid w:val="00366902"/>
    <w:rsid w:val="00366CBE"/>
    <w:rsid w:val="00367C99"/>
    <w:rsid w:val="00367FE8"/>
    <w:rsid w:val="00370B32"/>
    <w:rsid w:val="00370F7D"/>
    <w:rsid w:val="0037117B"/>
    <w:rsid w:val="00371623"/>
    <w:rsid w:val="0037349C"/>
    <w:rsid w:val="0037557A"/>
    <w:rsid w:val="00375A0F"/>
    <w:rsid w:val="0037649D"/>
    <w:rsid w:val="00376FC3"/>
    <w:rsid w:val="003810FC"/>
    <w:rsid w:val="00381371"/>
    <w:rsid w:val="0038229B"/>
    <w:rsid w:val="00385774"/>
    <w:rsid w:val="00386306"/>
    <w:rsid w:val="00387233"/>
    <w:rsid w:val="00387345"/>
    <w:rsid w:val="00387371"/>
    <w:rsid w:val="00387DC2"/>
    <w:rsid w:val="003900BB"/>
    <w:rsid w:val="00390327"/>
    <w:rsid w:val="00391096"/>
    <w:rsid w:val="00391C26"/>
    <w:rsid w:val="00392BD5"/>
    <w:rsid w:val="00393F6C"/>
    <w:rsid w:val="00394707"/>
    <w:rsid w:val="0039539A"/>
    <w:rsid w:val="003A5B98"/>
    <w:rsid w:val="003A5E3A"/>
    <w:rsid w:val="003A7546"/>
    <w:rsid w:val="003A777C"/>
    <w:rsid w:val="003B0DD4"/>
    <w:rsid w:val="003B18C7"/>
    <w:rsid w:val="003B20A2"/>
    <w:rsid w:val="003B234F"/>
    <w:rsid w:val="003B3BCB"/>
    <w:rsid w:val="003B4213"/>
    <w:rsid w:val="003B472E"/>
    <w:rsid w:val="003B49C3"/>
    <w:rsid w:val="003B4C14"/>
    <w:rsid w:val="003B4D6F"/>
    <w:rsid w:val="003B5213"/>
    <w:rsid w:val="003B5B05"/>
    <w:rsid w:val="003B7EDD"/>
    <w:rsid w:val="003C0F23"/>
    <w:rsid w:val="003C1957"/>
    <w:rsid w:val="003C23CF"/>
    <w:rsid w:val="003C2922"/>
    <w:rsid w:val="003C353D"/>
    <w:rsid w:val="003C513C"/>
    <w:rsid w:val="003C6FE1"/>
    <w:rsid w:val="003C79BB"/>
    <w:rsid w:val="003D2571"/>
    <w:rsid w:val="003D2DA4"/>
    <w:rsid w:val="003D378A"/>
    <w:rsid w:val="003D65E4"/>
    <w:rsid w:val="003E02A5"/>
    <w:rsid w:val="003E0683"/>
    <w:rsid w:val="003E079B"/>
    <w:rsid w:val="003E17EC"/>
    <w:rsid w:val="003E1A9F"/>
    <w:rsid w:val="003E21A1"/>
    <w:rsid w:val="003E2336"/>
    <w:rsid w:val="003E42C1"/>
    <w:rsid w:val="003E529D"/>
    <w:rsid w:val="003E6EF2"/>
    <w:rsid w:val="003E7180"/>
    <w:rsid w:val="003E7CFC"/>
    <w:rsid w:val="003E7F27"/>
    <w:rsid w:val="003F0158"/>
    <w:rsid w:val="003F1477"/>
    <w:rsid w:val="003F4C66"/>
    <w:rsid w:val="003F6C02"/>
    <w:rsid w:val="003F75C9"/>
    <w:rsid w:val="004017BC"/>
    <w:rsid w:val="00402278"/>
    <w:rsid w:val="004061DE"/>
    <w:rsid w:val="00406F1F"/>
    <w:rsid w:val="004102DE"/>
    <w:rsid w:val="00413AF2"/>
    <w:rsid w:val="00413B2C"/>
    <w:rsid w:val="00413F44"/>
    <w:rsid w:val="00414EF2"/>
    <w:rsid w:val="00420EBD"/>
    <w:rsid w:val="0042198B"/>
    <w:rsid w:val="00422122"/>
    <w:rsid w:val="00422F18"/>
    <w:rsid w:val="0042307A"/>
    <w:rsid w:val="00423290"/>
    <w:rsid w:val="00425935"/>
    <w:rsid w:val="00426303"/>
    <w:rsid w:val="00427E34"/>
    <w:rsid w:val="00430445"/>
    <w:rsid w:val="004314C1"/>
    <w:rsid w:val="00431559"/>
    <w:rsid w:val="004319A4"/>
    <w:rsid w:val="00432907"/>
    <w:rsid w:val="004343AE"/>
    <w:rsid w:val="0043501B"/>
    <w:rsid w:val="0043638C"/>
    <w:rsid w:val="00440285"/>
    <w:rsid w:val="00440F02"/>
    <w:rsid w:val="004414DA"/>
    <w:rsid w:val="00441585"/>
    <w:rsid w:val="00441ECE"/>
    <w:rsid w:val="004446E1"/>
    <w:rsid w:val="00444CEA"/>
    <w:rsid w:val="00445F6A"/>
    <w:rsid w:val="0044662E"/>
    <w:rsid w:val="00446CFA"/>
    <w:rsid w:val="004476FF"/>
    <w:rsid w:val="004511D9"/>
    <w:rsid w:val="004519A4"/>
    <w:rsid w:val="00452668"/>
    <w:rsid w:val="004534D7"/>
    <w:rsid w:val="00453B09"/>
    <w:rsid w:val="00454472"/>
    <w:rsid w:val="0045451B"/>
    <w:rsid w:val="00455946"/>
    <w:rsid w:val="00455FFC"/>
    <w:rsid w:val="00456019"/>
    <w:rsid w:val="00457E55"/>
    <w:rsid w:val="00457F61"/>
    <w:rsid w:val="0046020F"/>
    <w:rsid w:val="00460669"/>
    <w:rsid w:val="00461509"/>
    <w:rsid w:val="00461A36"/>
    <w:rsid w:val="00464A35"/>
    <w:rsid w:val="00465D51"/>
    <w:rsid w:val="004721C5"/>
    <w:rsid w:val="00472307"/>
    <w:rsid w:val="00472B30"/>
    <w:rsid w:val="00473420"/>
    <w:rsid w:val="00474676"/>
    <w:rsid w:val="004755D6"/>
    <w:rsid w:val="00476236"/>
    <w:rsid w:val="0047680B"/>
    <w:rsid w:val="00476D59"/>
    <w:rsid w:val="0048027D"/>
    <w:rsid w:val="00481978"/>
    <w:rsid w:val="00481B80"/>
    <w:rsid w:val="00481D72"/>
    <w:rsid w:val="00482F6C"/>
    <w:rsid w:val="004832B9"/>
    <w:rsid w:val="00485245"/>
    <w:rsid w:val="00486349"/>
    <w:rsid w:val="004875DA"/>
    <w:rsid w:val="004918D1"/>
    <w:rsid w:val="004920AE"/>
    <w:rsid w:val="004920EC"/>
    <w:rsid w:val="00493C9C"/>
    <w:rsid w:val="00493DE6"/>
    <w:rsid w:val="0049437E"/>
    <w:rsid w:val="00494F79"/>
    <w:rsid w:val="00495445"/>
    <w:rsid w:val="00495E68"/>
    <w:rsid w:val="00495F98"/>
    <w:rsid w:val="00497C06"/>
    <w:rsid w:val="00497C7B"/>
    <w:rsid w:val="004A000E"/>
    <w:rsid w:val="004A0269"/>
    <w:rsid w:val="004A0423"/>
    <w:rsid w:val="004A1B73"/>
    <w:rsid w:val="004A2352"/>
    <w:rsid w:val="004A2726"/>
    <w:rsid w:val="004A2DE8"/>
    <w:rsid w:val="004A334A"/>
    <w:rsid w:val="004A3988"/>
    <w:rsid w:val="004A48DF"/>
    <w:rsid w:val="004A7ED3"/>
    <w:rsid w:val="004B03F9"/>
    <w:rsid w:val="004B08C4"/>
    <w:rsid w:val="004B2077"/>
    <w:rsid w:val="004B23E9"/>
    <w:rsid w:val="004B245E"/>
    <w:rsid w:val="004B358A"/>
    <w:rsid w:val="004B3AFF"/>
    <w:rsid w:val="004B488F"/>
    <w:rsid w:val="004B7378"/>
    <w:rsid w:val="004B7EA7"/>
    <w:rsid w:val="004C0269"/>
    <w:rsid w:val="004C0655"/>
    <w:rsid w:val="004C13AF"/>
    <w:rsid w:val="004C150A"/>
    <w:rsid w:val="004C2070"/>
    <w:rsid w:val="004C2F1B"/>
    <w:rsid w:val="004C3704"/>
    <w:rsid w:val="004C4540"/>
    <w:rsid w:val="004C5886"/>
    <w:rsid w:val="004C6900"/>
    <w:rsid w:val="004C7792"/>
    <w:rsid w:val="004D09E2"/>
    <w:rsid w:val="004D1976"/>
    <w:rsid w:val="004D20DC"/>
    <w:rsid w:val="004D282A"/>
    <w:rsid w:val="004D3028"/>
    <w:rsid w:val="004D34F0"/>
    <w:rsid w:val="004D36E4"/>
    <w:rsid w:val="004D3D4C"/>
    <w:rsid w:val="004D48A6"/>
    <w:rsid w:val="004E299A"/>
    <w:rsid w:val="004E3E00"/>
    <w:rsid w:val="004E40A9"/>
    <w:rsid w:val="004E4812"/>
    <w:rsid w:val="004E5572"/>
    <w:rsid w:val="004E6216"/>
    <w:rsid w:val="004E6847"/>
    <w:rsid w:val="004E69A0"/>
    <w:rsid w:val="004E7601"/>
    <w:rsid w:val="004F125B"/>
    <w:rsid w:val="004F2101"/>
    <w:rsid w:val="004F4D23"/>
    <w:rsid w:val="004F4DB0"/>
    <w:rsid w:val="004F551D"/>
    <w:rsid w:val="004F5CEB"/>
    <w:rsid w:val="004F5FA4"/>
    <w:rsid w:val="004F6B5C"/>
    <w:rsid w:val="004F7B37"/>
    <w:rsid w:val="00501D9A"/>
    <w:rsid w:val="005065F5"/>
    <w:rsid w:val="00506A49"/>
    <w:rsid w:val="0050795F"/>
    <w:rsid w:val="00507F52"/>
    <w:rsid w:val="005102C6"/>
    <w:rsid w:val="0051032F"/>
    <w:rsid w:val="005124A6"/>
    <w:rsid w:val="0051356B"/>
    <w:rsid w:val="0051409B"/>
    <w:rsid w:val="005144C3"/>
    <w:rsid w:val="00514BFB"/>
    <w:rsid w:val="005154F4"/>
    <w:rsid w:val="00515D19"/>
    <w:rsid w:val="00516154"/>
    <w:rsid w:val="00516A9F"/>
    <w:rsid w:val="00516EDC"/>
    <w:rsid w:val="00517471"/>
    <w:rsid w:val="00521ABA"/>
    <w:rsid w:val="005222B0"/>
    <w:rsid w:val="0052294F"/>
    <w:rsid w:val="0052381F"/>
    <w:rsid w:val="00524BDE"/>
    <w:rsid w:val="00525E0E"/>
    <w:rsid w:val="00526BA7"/>
    <w:rsid w:val="005270FE"/>
    <w:rsid w:val="005313E1"/>
    <w:rsid w:val="00532468"/>
    <w:rsid w:val="005326B2"/>
    <w:rsid w:val="00532A4A"/>
    <w:rsid w:val="005332AF"/>
    <w:rsid w:val="005337EF"/>
    <w:rsid w:val="00533978"/>
    <w:rsid w:val="005342B4"/>
    <w:rsid w:val="0053610B"/>
    <w:rsid w:val="0054140A"/>
    <w:rsid w:val="005419E2"/>
    <w:rsid w:val="005428EE"/>
    <w:rsid w:val="00542FBD"/>
    <w:rsid w:val="00543831"/>
    <w:rsid w:val="00543EB9"/>
    <w:rsid w:val="005446B1"/>
    <w:rsid w:val="00544E24"/>
    <w:rsid w:val="00545026"/>
    <w:rsid w:val="00546370"/>
    <w:rsid w:val="0054648E"/>
    <w:rsid w:val="0054711A"/>
    <w:rsid w:val="005522ED"/>
    <w:rsid w:val="00552979"/>
    <w:rsid w:val="00553091"/>
    <w:rsid w:val="0055332C"/>
    <w:rsid w:val="0055446D"/>
    <w:rsid w:val="00554E32"/>
    <w:rsid w:val="0055629F"/>
    <w:rsid w:val="0055630A"/>
    <w:rsid w:val="00556F76"/>
    <w:rsid w:val="00560248"/>
    <w:rsid w:val="00562146"/>
    <w:rsid w:val="0056260B"/>
    <w:rsid w:val="00564733"/>
    <w:rsid w:val="00564CBD"/>
    <w:rsid w:val="00570F32"/>
    <w:rsid w:val="0057152A"/>
    <w:rsid w:val="00572EEC"/>
    <w:rsid w:val="00573F31"/>
    <w:rsid w:val="00574F26"/>
    <w:rsid w:val="0057517D"/>
    <w:rsid w:val="0057562F"/>
    <w:rsid w:val="00575DD5"/>
    <w:rsid w:val="005769DC"/>
    <w:rsid w:val="00576A1B"/>
    <w:rsid w:val="00576B44"/>
    <w:rsid w:val="00577C96"/>
    <w:rsid w:val="0058043A"/>
    <w:rsid w:val="0058047C"/>
    <w:rsid w:val="005807D7"/>
    <w:rsid w:val="00582DC8"/>
    <w:rsid w:val="005831B9"/>
    <w:rsid w:val="00584A02"/>
    <w:rsid w:val="005875FF"/>
    <w:rsid w:val="00591612"/>
    <w:rsid w:val="0059395B"/>
    <w:rsid w:val="005943C3"/>
    <w:rsid w:val="00596A2D"/>
    <w:rsid w:val="005A1359"/>
    <w:rsid w:val="005A2532"/>
    <w:rsid w:val="005A3D27"/>
    <w:rsid w:val="005A578F"/>
    <w:rsid w:val="005A5D7E"/>
    <w:rsid w:val="005A63A7"/>
    <w:rsid w:val="005A7170"/>
    <w:rsid w:val="005B04EE"/>
    <w:rsid w:val="005B0759"/>
    <w:rsid w:val="005B2291"/>
    <w:rsid w:val="005B3148"/>
    <w:rsid w:val="005B4682"/>
    <w:rsid w:val="005B4699"/>
    <w:rsid w:val="005B4D20"/>
    <w:rsid w:val="005B4D68"/>
    <w:rsid w:val="005B4EFF"/>
    <w:rsid w:val="005B70C3"/>
    <w:rsid w:val="005B735B"/>
    <w:rsid w:val="005B7ED3"/>
    <w:rsid w:val="005C2565"/>
    <w:rsid w:val="005C2B10"/>
    <w:rsid w:val="005C2F5B"/>
    <w:rsid w:val="005C3022"/>
    <w:rsid w:val="005C3126"/>
    <w:rsid w:val="005C55B6"/>
    <w:rsid w:val="005C5836"/>
    <w:rsid w:val="005D16C2"/>
    <w:rsid w:val="005D16EC"/>
    <w:rsid w:val="005D1924"/>
    <w:rsid w:val="005D1ADE"/>
    <w:rsid w:val="005D1EC2"/>
    <w:rsid w:val="005D221C"/>
    <w:rsid w:val="005D25E3"/>
    <w:rsid w:val="005D5EF3"/>
    <w:rsid w:val="005D6496"/>
    <w:rsid w:val="005D6836"/>
    <w:rsid w:val="005E0F6C"/>
    <w:rsid w:val="005E1588"/>
    <w:rsid w:val="005E3CB4"/>
    <w:rsid w:val="005E42AA"/>
    <w:rsid w:val="005E4C07"/>
    <w:rsid w:val="005E5505"/>
    <w:rsid w:val="005E6B65"/>
    <w:rsid w:val="005E77C1"/>
    <w:rsid w:val="005E7CFC"/>
    <w:rsid w:val="005F06F6"/>
    <w:rsid w:val="005F0B0D"/>
    <w:rsid w:val="005F27EF"/>
    <w:rsid w:val="005F3F17"/>
    <w:rsid w:val="005F4117"/>
    <w:rsid w:val="005F47B2"/>
    <w:rsid w:val="005F48B6"/>
    <w:rsid w:val="005F5F7B"/>
    <w:rsid w:val="005F5FE7"/>
    <w:rsid w:val="005F6561"/>
    <w:rsid w:val="005F7BA1"/>
    <w:rsid w:val="005F7E9E"/>
    <w:rsid w:val="0060200C"/>
    <w:rsid w:val="006022D8"/>
    <w:rsid w:val="00602CCC"/>
    <w:rsid w:val="00602EFB"/>
    <w:rsid w:val="0060380F"/>
    <w:rsid w:val="00604E85"/>
    <w:rsid w:val="00605980"/>
    <w:rsid w:val="00610E2E"/>
    <w:rsid w:val="00611E37"/>
    <w:rsid w:val="006126AC"/>
    <w:rsid w:val="006129FA"/>
    <w:rsid w:val="00612E38"/>
    <w:rsid w:val="00612F77"/>
    <w:rsid w:val="0061328D"/>
    <w:rsid w:val="0061333A"/>
    <w:rsid w:val="006143D0"/>
    <w:rsid w:val="00615695"/>
    <w:rsid w:val="00621855"/>
    <w:rsid w:val="00621E88"/>
    <w:rsid w:val="006222B7"/>
    <w:rsid w:val="006224CF"/>
    <w:rsid w:val="00622DAD"/>
    <w:rsid w:val="00623BA4"/>
    <w:rsid w:val="00625CD7"/>
    <w:rsid w:val="006267CD"/>
    <w:rsid w:val="00626F7E"/>
    <w:rsid w:val="006273EC"/>
    <w:rsid w:val="00627CD5"/>
    <w:rsid w:val="00631330"/>
    <w:rsid w:val="006334EF"/>
    <w:rsid w:val="00634CF9"/>
    <w:rsid w:val="006351DB"/>
    <w:rsid w:val="006352A7"/>
    <w:rsid w:val="00635487"/>
    <w:rsid w:val="00635A12"/>
    <w:rsid w:val="00636019"/>
    <w:rsid w:val="0063669B"/>
    <w:rsid w:val="006369AB"/>
    <w:rsid w:val="00637482"/>
    <w:rsid w:val="00640459"/>
    <w:rsid w:val="00640696"/>
    <w:rsid w:val="006420DD"/>
    <w:rsid w:val="00642A23"/>
    <w:rsid w:val="00645D4B"/>
    <w:rsid w:val="00647488"/>
    <w:rsid w:val="0065005B"/>
    <w:rsid w:val="00650A76"/>
    <w:rsid w:val="00650D63"/>
    <w:rsid w:val="00651924"/>
    <w:rsid w:val="00651E49"/>
    <w:rsid w:val="0065214F"/>
    <w:rsid w:val="006522B6"/>
    <w:rsid w:val="00653C57"/>
    <w:rsid w:val="0065662C"/>
    <w:rsid w:val="00657E30"/>
    <w:rsid w:val="00661CED"/>
    <w:rsid w:val="00661E32"/>
    <w:rsid w:val="00662000"/>
    <w:rsid w:val="0066234E"/>
    <w:rsid w:val="0066288E"/>
    <w:rsid w:val="00662B26"/>
    <w:rsid w:val="00663629"/>
    <w:rsid w:val="00663CDC"/>
    <w:rsid w:val="00663D88"/>
    <w:rsid w:val="006643F6"/>
    <w:rsid w:val="006645B0"/>
    <w:rsid w:val="00664A20"/>
    <w:rsid w:val="006659EB"/>
    <w:rsid w:val="00666E99"/>
    <w:rsid w:val="00667679"/>
    <w:rsid w:val="0066774D"/>
    <w:rsid w:val="00670956"/>
    <w:rsid w:val="00671A11"/>
    <w:rsid w:val="0067308E"/>
    <w:rsid w:val="006731A6"/>
    <w:rsid w:val="00677459"/>
    <w:rsid w:val="00680341"/>
    <w:rsid w:val="006804F9"/>
    <w:rsid w:val="0068182A"/>
    <w:rsid w:val="00682563"/>
    <w:rsid w:val="006827EF"/>
    <w:rsid w:val="006834E7"/>
    <w:rsid w:val="00684EA8"/>
    <w:rsid w:val="00686FDE"/>
    <w:rsid w:val="00691484"/>
    <w:rsid w:val="00696824"/>
    <w:rsid w:val="006A00C3"/>
    <w:rsid w:val="006A0244"/>
    <w:rsid w:val="006A21F5"/>
    <w:rsid w:val="006A2366"/>
    <w:rsid w:val="006A2637"/>
    <w:rsid w:val="006A33C9"/>
    <w:rsid w:val="006A49D1"/>
    <w:rsid w:val="006A5FA4"/>
    <w:rsid w:val="006A6028"/>
    <w:rsid w:val="006A7C5A"/>
    <w:rsid w:val="006B020D"/>
    <w:rsid w:val="006B28A4"/>
    <w:rsid w:val="006B29B1"/>
    <w:rsid w:val="006B31EF"/>
    <w:rsid w:val="006B3217"/>
    <w:rsid w:val="006B3994"/>
    <w:rsid w:val="006B4941"/>
    <w:rsid w:val="006B5140"/>
    <w:rsid w:val="006B5BB4"/>
    <w:rsid w:val="006B711E"/>
    <w:rsid w:val="006B723D"/>
    <w:rsid w:val="006C14C3"/>
    <w:rsid w:val="006C1625"/>
    <w:rsid w:val="006C1F59"/>
    <w:rsid w:val="006C262D"/>
    <w:rsid w:val="006C269D"/>
    <w:rsid w:val="006C2E70"/>
    <w:rsid w:val="006C47BE"/>
    <w:rsid w:val="006C530E"/>
    <w:rsid w:val="006C794D"/>
    <w:rsid w:val="006C7B49"/>
    <w:rsid w:val="006D0AE4"/>
    <w:rsid w:val="006D2E9F"/>
    <w:rsid w:val="006D398E"/>
    <w:rsid w:val="006D503C"/>
    <w:rsid w:val="006D6E05"/>
    <w:rsid w:val="006D7C50"/>
    <w:rsid w:val="006E0634"/>
    <w:rsid w:val="006E0A4D"/>
    <w:rsid w:val="006E1B03"/>
    <w:rsid w:val="006E2AA0"/>
    <w:rsid w:val="006E334C"/>
    <w:rsid w:val="006E4B75"/>
    <w:rsid w:val="006E5237"/>
    <w:rsid w:val="006E53C4"/>
    <w:rsid w:val="006E56C7"/>
    <w:rsid w:val="006E5CAA"/>
    <w:rsid w:val="006E6924"/>
    <w:rsid w:val="006E71D8"/>
    <w:rsid w:val="006E72D3"/>
    <w:rsid w:val="006F187A"/>
    <w:rsid w:val="006F22F7"/>
    <w:rsid w:val="006F22FA"/>
    <w:rsid w:val="006F31FF"/>
    <w:rsid w:val="006F3D8B"/>
    <w:rsid w:val="006F4C9C"/>
    <w:rsid w:val="006F4D61"/>
    <w:rsid w:val="006F63F6"/>
    <w:rsid w:val="006F6426"/>
    <w:rsid w:val="007004A2"/>
    <w:rsid w:val="0070190E"/>
    <w:rsid w:val="007029E4"/>
    <w:rsid w:val="00703011"/>
    <w:rsid w:val="00703AAD"/>
    <w:rsid w:val="00704A94"/>
    <w:rsid w:val="0070551A"/>
    <w:rsid w:val="0070569E"/>
    <w:rsid w:val="00706ED9"/>
    <w:rsid w:val="00710736"/>
    <w:rsid w:val="00710D9B"/>
    <w:rsid w:val="00711279"/>
    <w:rsid w:val="0071154F"/>
    <w:rsid w:val="00712258"/>
    <w:rsid w:val="00712FB9"/>
    <w:rsid w:val="007133DA"/>
    <w:rsid w:val="007147A6"/>
    <w:rsid w:val="0071522E"/>
    <w:rsid w:val="007160BC"/>
    <w:rsid w:val="0072027C"/>
    <w:rsid w:val="00721137"/>
    <w:rsid w:val="007213A6"/>
    <w:rsid w:val="00721DBC"/>
    <w:rsid w:val="007237DF"/>
    <w:rsid w:val="007240C3"/>
    <w:rsid w:val="007241AB"/>
    <w:rsid w:val="0072435C"/>
    <w:rsid w:val="0072505C"/>
    <w:rsid w:val="00725AC8"/>
    <w:rsid w:val="00727C37"/>
    <w:rsid w:val="007311DD"/>
    <w:rsid w:val="00731487"/>
    <w:rsid w:val="00731969"/>
    <w:rsid w:val="00731DBE"/>
    <w:rsid w:val="0073246C"/>
    <w:rsid w:val="00733FC2"/>
    <w:rsid w:val="00735B17"/>
    <w:rsid w:val="00737745"/>
    <w:rsid w:val="00737815"/>
    <w:rsid w:val="00740A0A"/>
    <w:rsid w:val="0074208D"/>
    <w:rsid w:val="00742248"/>
    <w:rsid w:val="00742722"/>
    <w:rsid w:val="0074279C"/>
    <w:rsid w:val="0074280C"/>
    <w:rsid w:val="0074314C"/>
    <w:rsid w:val="0074361B"/>
    <w:rsid w:val="007447CC"/>
    <w:rsid w:val="0074650F"/>
    <w:rsid w:val="00747392"/>
    <w:rsid w:val="00750EEA"/>
    <w:rsid w:val="00751FA6"/>
    <w:rsid w:val="00753654"/>
    <w:rsid w:val="007547C4"/>
    <w:rsid w:val="00755BA6"/>
    <w:rsid w:val="007560E8"/>
    <w:rsid w:val="007561CD"/>
    <w:rsid w:val="00756C21"/>
    <w:rsid w:val="00757691"/>
    <w:rsid w:val="00757F46"/>
    <w:rsid w:val="00760EEC"/>
    <w:rsid w:val="00760F44"/>
    <w:rsid w:val="0076121B"/>
    <w:rsid w:val="0076126C"/>
    <w:rsid w:val="00761B7E"/>
    <w:rsid w:val="007631E8"/>
    <w:rsid w:val="00763D3B"/>
    <w:rsid w:val="007665DE"/>
    <w:rsid w:val="00767355"/>
    <w:rsid w:val="007677BE"/>
    <w:rsid w:val="007721E9"/>
    <w:rsid w:val="00772EF4"/>
    <w:rsid w:val="00773415"/>
    <w:rsid w:val="00773945"/>
    <w:rsid w:val="00777E5A"/>
    <w:rsid w:val="00780CF6"/>
    <w:rsid w:val="00781DEC"/>
    <w:rsid w:val="0078226C"/>
    <w:rsid w:val="007829CB"/>
    <w:rsid w:val="00783CA4"/>
    <w:rsid w:val="007840A1"/>
    <w:rsid w:val="00784C97"/>
    <w:rsid w:val="00786D74"/>
    <w:rsid w:val="0078700A"/>
    <w:rsid w:val="00787541"/>
    <w:rsid w:val="00787796"/>
    <w:rsid w:val="00787A48"/>
    <w:rsid w:val="00787ADA"/>
    <w:rsid w:val="00787BE0"/>
    <w:rsid w:val="007920CB"/>
    <w:rsid w:val="0079299A"/>
    <w:rsid w:val="00793C12"/>
    <w:rsid w:val="007A00E9"/>
    <w:rsid w:val="007A25C9"/>
    <w:rsid w:val="007A26AB"/>
    <w:rsid w:val="007A2EF3"/>
    <w:rsid w:val="007A38B1"/>
    <w:rsid w:val="007A3BE3"/>
    <w:rsid w:val="007A3E9B"/>
    <w:rsid w:val="007A5A5D"/>
    <w:rsid w:val="007A5ADF"/>
    <w:rsid w:val="007A6E25"/>
    <w:rsid w:val="007A7524"/>
    <w:rsid w:val="007B001C"/>
    <w:rsid w:val="007B143C"/>
    <w:rsid w:val="007B4520"/>
    <w:rsid w:val="007B4621"/>
    <w:rsid w:val="007B4B4D"/>
    <w:rsid w:val="007B4D86"/>
    <w:rsid w:val="007B5E8A"/>
    <w:rsid w:val="007B6F5D"/>
    <w:rsid w:val="007B7384"/>
    <w:rsid w:val="007B76E5"/>
    <w:rsid w:val="007C0A07"/>
    <w:rsid w:val="007C112E"/>
    <w:rsid w:val="007C15E7"/>
    <w:rsid w:val="007C1F00"/>
    <w:rsid w:val="007C3600"/>
    <w:rsid w:val="007C37F5"/>
    <w:rsid w:val="007C507D"/>
    <w:rsid w:val="007C5273"/>
    <w:rsid w:val="007C5BF4"/>
    <w:rsid w:val="007C67C3"/>
    <w:rsid w:val="007C684B"/>
    <w:rsid w:val="007C7B82"/>
    <w:rsid w:val="007D0F46"/>
    <w:rsid w:val="007D14FF"/>
    <w:rsid w:val="007D22F4"/>
    <w:rsid w:val="007D265C"/>
    <w:rsid w:val="007D2C78"/>
    <w:rsid w:val="007D329F"/>
    <w:rsid w:val="007D3420"/>
    <w:rsid w:val="007D4680"/>
    <w:rsid w:val="007E14E0"/>
    <w:rsid w:val="007E2114"/>
    <w:rsid w:val="007E21C9"/>
    <w:rsid w:val="007E2305"/>
    <w:rsid w:val="007E2D61"/>
    <w:rsid w:val="007E305A"/>
    <w:rsid w:val="007E5ECA"/>
    <w:rsid w:val="007E7AC4"/>
    <w:rsid w:val="007F0576"/>
    <w:rsid w:val="007F2553"/>
    <w:rsid w:val="007F2B6C"/>
    <w:rsid w:val="007F4B99"/>
    <w:rsid w:val="007F6A5A"/>
    <w:rsid w:val="007F7204"/>
    <w:rsid w:val="00800366"/>
    <w:rsid w:val="00801D39"/>
    <w:rsid w:val="00801FDF"/>
    <w:rsid w:val="008029F5"/>
    <w:rsid w:val="00803B25"/>
    <w:rsid w:val="008055ED"/>
    <w:rsid w:val="00805B2B"/>
    <w:rsid w:val="008103C5"/>
    <w:rsid w:val="00810C4E"/>
    <w:rsid w:val="008115C1"/>
    <w:rsid w:val="00811DC8"/>
    <w:rsid w:val="00811F3E"/>
    <w:rsid w:val="008125DB"/>
    <w:rsid w:val="0081469E"/>
    <w:rsid w:val="00814CB0"/>
    <w:rsid w:val="00816157"/>
    <w:rsid w:val="00816DEE"/>
    <w:rsid w:val="008176B2"/>
    <w:rsid w:val="008202AA"/>
    <w:rsid w:val="00822361"/>
    <w:rsid w:val="008226B2"/>
    <w:rsid w:val="00822955"/>
    <w:rsid w:val="00822A9A"/>
    <w:rsid w:val="00822F02"/>
    <w:rsid w:val="00822F4E"/>
    <w:rsid w:val="008234A8"/>
    <w:rsid w:val="00823E48"/>
    <w:rsid w:val="00824572"/>
    <w:rsid w:val="008251C3"/>
    <w:rsid w:val="00825D93"/>
    <w:rsid w:val="0082713E"/>
    <w:rsid w:val="008307C3"/>
    <w:rsid w:val="00830945"/>
    <w:rsid w:val="00832544"/>
    <w:rsid w:val="00833E11"/>
    <w:rsid w:val="0083702E"/>
    <w:rsid w:val="0083789E"/>
    <w:rsid w:val="00842E71"/>
    <w:rsid w:val="008441FE"/>
    <w:rsid w:val="00846364"/>
    <w:rsid w:val="00846390"/>
    <w:rsid w:val="00846DD2"/>
    <w:rsid w:val="00847296"/>
    <w:rsid w:val="0085129A"/>
    <w:rsid w:val="0085214B"/>
    <w:rsid w:val="00853756"/>
    <w:rsid w:val="008555E2"/>
    <w:rsid w:val="008557CD"/>
    <w:rsid w:val="00857632"/>
    <w:rsid w:val="008578CF"/>
    <w:rsid w:val="0086285B"/>
    <w:rsid w:val="00863812"/>
    <w:rsid w:val="00864680"/>
    <w:rsid w:val="00866270"/>
    <w:rsid w:val="00867233"/>
    <w:rsid w:val="008672D4"/>
    <w:rsid w:val="008673C2"/>
    <w:rsid w:val="008679B3"/>
    <w:rsid w:val="00870086"/>
    <w:rsid w:val="008715EC"/>
    <w:rsid w:val="00871B7E"/>
    <w:rsid w:val="0087253F"/>
    <w:rsid w:val="00872EA3"/>
    <w:rsid w:val="00873848"/>
    <w:rsid w:val="008740EC"/>
    <w:rsid w:val="00874729"/>
    <w:rsid w:val="008754BD"/>
    <w:rsid w:val="00877BC2"/>
    <w:rsid w:val="00883BBA"/>
    <w:rsid w:val="00884359"/>
    <w:rsid w:val="008848D1"/>
    <w:rsid w:val="00884A2C"/>
    <w:rsid w:val="0088510F"/>
    <w:rsid w:val="00885642"/>
    <w:rsid w:val="00886E69"/>
    <w:rsid w:val="00887098"/>
    <w:rsid w:val="00887244"/>
    <w:rsid w:val="00887856"/>
    <w:rsid w:val="008916B2"/>
    <w:rsid w:val="00893055"/>
    <w:rsid w:val="0089369A"/>
    <w:rsid w:val="008957FE"/>
    <w:rsid w:val="00896237"/>
    <w:rsid w:val="008962B2"/>
    <w:rsid w:val="00897575"/>
    <w:rsid w:val="00897765"/>
    <w:rsid w:val="008A15C3"/>
    <w:rsid w:val="008A1663"/>
    <w:rsid w:val="008A18A9"/>
    <w:rsid w:val="008A33C0"/>
    <w:rsid w:val="008B00E9"/>
    <w:rsid w:val="008B09CC"/>
    <w:rsid w:val="008B15D4"/>
    <w:rsid w:val="008B1CE4"/>
    <w:rsid w:val="008B3AD8"/>
    <w:rsid w:val="008B45B2"/>
    <w:rsid w:val="008B47F0"/>
    <w:rsid w:val="008B6301"/>
    <w:rsid w:val="008B727A"/>
    <w:rsid w:val="008B7983"/>
    <w:rsid w:val="008B7BBD"/>
    <w:rsid w:val="008C11DE"/>
    <w:rsid w:val="008C2740"/>
    <w:rsid w:val="008C3EAB"/>
    <w:rsid w:val="008C42DB"/>
    <w:rsid w:val="008C5466"/>
    <w:rsid w:val="008C5C66"/>
    <w:rsid w:val="008C732D"/>
    <w:rsid w:val="008C7ED5"/>
    <w:rsid w:val="008D0F6E"/>
    <w:rsid w:val="008D2C38"/>
    <w:rsid w:val="008D5EA1"/>
    <w:rsid w:val="008D6D9B"/>
    <w:rsid w:val="008D7421"/>
    <w:rsid w:val="008D7587"/>
    <w:rsid w:val="008D79C8"/>
    <w:rsid w:val="008D7E77"/>
    <w:rsid w:val="008E173B"/>
    <w:rsid w:val="008E4ACC"/>
    <w:rsid w:val="008E55B6"/>
    <w:rsid w:val="008F04D1"/>
    <w:rsid w:val="008F0BF1"/>
    <w:rsid w:val="008F0C47"/>
    <w:rsid w:val="008F1E10"/>
    <w:rsid w:val="008F2468"/>
    <w:rsid w:val="008F4F70"/>
    <w:rsid w:val="008F5653"/>
    <w:rsid w:val="008F5C70"/>
    <w:rsid w:val="008F5EC5"/>
    <w:rsid w:val="008F5F99"/>
    <w:rsid w:val="008F6F80"/>
    <w:rsid w:val="008F7545"/>
    <w:rsid w:val="008F766F"/>
    <w:rsid w:val="008F7D94"/>
    <w:rsid w:val="00901691"/>
    <w:rsid w:val="009040C8"/>
    <w:rsid w:val="00904E91"/>
    <w:rsid w:val="00906EE0"/>
    <w:rsid w:val="00907FB1"/>
    <w:rsid w:val="0091087C"/>
    <w:rsid w:val="0091091B"/>
    <w:rsid w:val="00910E63"/>
    <w:rsid w:val="00911039"/>
    <w:rsid w:val="00912721"/>
    <w:rsid w:val="00912A60"/>
    <w:rsid w:val="00912EBF"/>
    <w:rsid w:val="00914A66"/>
    <w:rsid w:val="0091597C"/>
    <w:rsid w:val="0092084C"/>
    <w:rsid w:val="009209F6"/>
    <w:rsid w:val="00920ABD"/>
    <w:rsid w:val="0092480D"/>
    <w:rsid w:val="00924AAF"/>
    <w:rsid w:val="009254D8"/>
    <w:rsid w:val="00930304"/>
    <w:rsid w:val="0093069E"/>
    <w:rsid w:val="00932136"/>
    <w:rsid w:val="0093378D"/>
    <w:rsid w:val="00933BF6"/>
    <w:rsid w:val="009365A0"/>
    <w:rsid w:val="00936B69"/>
    <w:rsid w:val="0094100A"/>
    <w:rsid w:val="00941574"/>
    <w:rsid w:val="00941A31"/>
    <w:rsid w:val="009422A8"/>
    <w:rsid w:val="00943022"/>
    <w:rsid w:val="00944AB4"/>
    <w:rsid w:val="0094555D"/>
    <w:rsid w:val="00947114"/>
    <w:rsid w:val="00947B05"/>
    <w:rsid w:val="0095041C"/>
    <w:rsid w:val="00950BB7"/>
    <w:rsid w:val="009536EB"/>
    <w:rsid w:val="00954070"/>
    <w:rsid w:val="00954430"/>
    <w:rsid w:val="00955895"/>
    <w:rsid w:val="00955FE3"/>
    <w:rsid w:val="009573F1"/>
    <w:rsid w:val="0096026A"/>
    <w:rsid w:val="009609BF"/>
    <w:rsid w:val="00961FC9"/>
    <w:rsid w:val="009624A8"/>
    <w:rsid w:val="00962B18"/>
    <w:rsid w:val="0096478A"/>
    <w:rsid w:val="00964815"/>
    <w:rsid w:val="0096531A"/>
    <w:rsid w:val="00965A67"/>
    <w:rsid w:val="0096621E"/>
    <w:rsid w:val="00970596"/>
    <w:rsid w:val="00970651"/>
    <w:rsid w:val="0097150D"/>
    <w:rsid w:val="00975AAC"/>
    <w:rsid w:val="00976038"/>
    <w:rsid w:val="00977D2A"/>
    <w:rsid w:val="0098122A"/>
    <w:rsid w:val="00981489"/>
    <w:rsid w:val="00981EE9"/>
    <w:rsid w:val="009837FB"/>
    <w:rsid w:val="009842A5"/>
    <w:rsid w:val="009849D1"/>
    <w:rsid w:val="00985BD6"/>
    <w:rsid w:val="00986236"/>
    <w:rsid w:val="00986CDD"/>
    <w:rsid w:val="0099020C"/>
    <w:rsid w:val="00990316"/>
    <w:rsid w:val="00990CDA"/>
    <w:rsid w:val="00990FE1"/>
    <w:rsid w:val="00992340"/>
    <w:rsid w:val="009924B4"/>
    <w:rsid w:val="0099329C"/>
    <w:rsid w:val="009933B8"/>
    <w:rsid w:val="00993587"/>
    <w:rsid w:val="0099375D"/>
    <w:rsid w:val="0099548A"/>
    <w:rsid w:val="009961E4"/>
    <w:rsid w:val="0099663C"/>
    <w:rsid w:val="00996D35"/>
    <w:rsid w:val="0099731C"/>
    <w:rsid w:val="009974C6"/>
    <w:rsid w:val="009A127B"/>
    <w:rsid w:val="009A1A01"/>
    <w:rsid w:val="009A3312"/>
    <w:rsid w:val="009A378A"/>
    <w:rsid w:val="009A5252"/>
    <w:rsid w:val="009A5522"/>
    <w:rsid w:val="009A7B7D"/>
    <w:rsid w:val="009B1C3E"/>
    <w:rsid w:val="009B261F"/>
    <w:rsid w:val="009B3288"/>
    <w:rsid w:val="009B4D50"/>
    <w:rsid w:val="009B57BA"/>
    <w:rsid w:val="009B5AFF"/>
    <w:rsid w:val="009B5E85"/>
    <w:rsid w:val="009C058B"/>
    <w:rsid w:val="009C1546"/>
    <w:rsid w:val="009C2721"/>
    <w:rsid w:val="009C2904"/>
    <w:rsid w:val="009C2E52"/>
    <w:rsid w:val="009C3516"/>
    <w:rsid w:val="009C357B"/>
    <w:rsid w:val="009C3C3A"/>
    <w:rsid w:val="009C44ED"/>
    <w:rsid w:val="009C4F2C"/>
    <w:rsid w:val="009C539E"/>
    <w:rsid w:val="009C5DA6"/>
    <w:rsid w:val="009C74B5"/>
    <w:rsid w:val="009D1354"/>
    <w:rsid w:val="009D192D"/>
    <w:rsid w:val="009D1E9F"/>
    <w:rsid w:val="009D215F"/>
    <w:rsid w:val="009D30FA"/>
    <w:rsid w:val="009D3192"/>
    <w:rsid w:val="009D4A82"/>
    <w:rsid w:val="009D509B"/>
    <w:rsid w:val="009D66ED"/>
    <w:rsid w:val="009D70C9"/>
    <w:rsid w:val="009D7C1F"/>
    <w:rsid w:val="009E1A0B"/>
    <w:rsid w:val="009E2C74"/>
    <w:rsid w:val="009E35B1"/>
    <w:rsid w:val="009E5548"/>
    <w:rsid w:val="009E5ED9"/>
    <w:rsid w:val="009E66B1"/>
    <w:rsid w:val="009F095F"/>
    <w:rsid w:val="009F0CD4"/>
    <w:rsid w:val="009F125C"/>
    <w:rsid w:val="009F1834"/>
    <w:rsid w:val="009F4708"/>
    <w:rsid w:val="009F5C07"/>
    <w:rsid w:val="009F5E7F"/>
    <w:rsid w:val="009F6BE8"/>
    <w:rsid w:val="009F6D3D"/>
    <w:rsid w:val="009F74EB"/>
    <w:rsid w:val="009F7AA9"/>
    <w:rsid w:val="00A010AE"/>
    <w:rsid w:val="00A01733"/>
    <w:rsid w:val="00A01AC3"/>
    <w:rsid w:val="00A02A5A"/>
    <w:rsid w:val="00A02CDE"/>
    <w:rsid w:val="00A0343B"/>
    <w:rsid w:val="00A03B08"/>
    <w:rsid w:val="00A05B27"/>
    <w:rsid w:val="00A05C5A"/>
    <w:rsid w:val="00A06111"/>
    <w:rsid w:val="00A103B8"/>
    <w:rsid w:val="00A10DF0"/>
    <w:rsid w:val="00A11F49"/>
    <w:rsid w:val="00A13059"/>
    <w:rsid w:val="00A144E4"/>
    <w:rsid w:val="00A1476F"/>
    <w:rsid w:val="00A155D7"/>
    <w:rsid w:val="00A15A3B"/>
    <w:rsid w:val="00A17203"/>
    <w:rsid w:val="00A21537"/>
    <w:rsid w:val="00A2320B"/>
    <w:rsid w:val="00A23AAF"/>
    <w:rsid w:val="00A23B99"/>
    <w:rsid w:val="00A24170"/>
    <w:rsid w:val="00A2453B"/>
    <w:rsid w:val="00A24975"/>
    <w:rsid w:val="00A25976"/>
    <w:rsid w:val="00A26721"/>
    <w:rsid w:val="00A26EA4"/>
    <w:rsid w:val="00A272A9"/>
    <w:rsid w:val="00A30CE2"/>
    <w:rsid w:val="00A31128"/>
    <w:rsid w:val="00A32C45"/>
    <w:rsid w:val="00A32D8E"/>
    <w:rsid w:val="00A33733"/>
    <w:rsid w:val="00A40575"/>
    <w:rsid w:val="00A41169"/>
    <w:rsid w:val="00A411A8"/>
    <w:rsid w:val="00A414A5"/>
    <w:rsid w:val="00A41E72"/>
    <w:rsid w:val="00A44CB2"/>
    <w:rsid w:val="00A45250"/>
    <w:rsid w:val="00A45DE0"/>
    <w:rsid w:val="00A465C0"/>
    <w:rsid w:val="00A47112"/>
    <w:rsid w:val="00A47166"/>
    <w:rsid w:val="00A52D77"/>
    <w:rsid w:val="00A55652"/>
    <w:rsid w:val="00A55CDC"/>
    <w:rsid w:val="00A56AC8"/>
    <w:rsid w:val="00A57D21"/>
    <w:rsid w:val="00A60EEC"/>
    <w:rsid w:val="00A61159"/>
    <w:rsid w:val="00A614E4"/>
    <w:rsid w:val="00A62361"/>
    <w:rsid w:val="00A62DF1"/>
    <w:rsid w:val="00A62F2D"/>
    <w:rsid w:val="00A62F88"/>
    <w:rsid w:val="00A64321"/>
    <w:rsid w:val="00A64FC4"/>
    <w:rsid w:val="00A65032"/>
    <w:rsid w:val="00A65489"/>
    <w:rsid w:val="00A66248"/>
    <w:rsid w:val="00A71B65"/>
    <w:rsid w:val="00A721F3"/>
    <w:rsid w:val="00A74201"/>
    <w:rsid w:val="00A75F33"/>
    <w:rsid w:val="00A76669"/>
    <w:rsid w:val="00A76729"/>
    <w:rsid w:val="00A76CD3"/>
    <w:rsid w:val="00A8078F"/>
    <w:rsid w:val="00A8138C"/>
    <w:rsid w:val="00A8148B"/>
    <w:rsid w:val="00A81562"/>
    <w:rsid w:val="00A826BD"/>
    <w:rsid w:val="00A82750"/>
    <w:rsid w:val="00A82D89"/>
    <w:rsid w:val="00A82EA1"/>
    <w:rsid w:val="00A82F69"/>
    <w:rsid w:val="00A83A3C"/>
    <w:rsid w:val="00A8430A"/>
    <w:rsid w:val="00A859E7"/>
    <w:rsid w:val="00A87878"/>
    <w:rsid w:val="00A87A3A"/>
    <w:rsid w:val="00A91E93"/>
    <w:rsid w:val="00A93388"/>
    <w:rsid w:val="00A95EF7"/>
    <w:rsid w:val="00A96606"/>
    <w:rsid w:val="00A969C5"/>
    <w:rsid w:val="00A97368"/>
    <w:rsid w:val="00A97419"/>
    <w:rsid w:val="00AA03E3"/>
    <w:rsid w:val="00AA1657"/>
    <w:rsid w:val="00AA1CB9"/>
    <w:rsid w:val="00AA2C5D"/>
    <w:rsid w:val="00AA3B16"/>
    <w:rsid w:val="00AA41DA"/>
    <w:rsid w:val="00AA4BE6"/>
    <w:rsid w:val="00AA646B"/>
    <w:rsid w:val="00AA6A4D"/>
    <w:rsid w:val="00AA6BAB"/>
    <w:rsid w:val="00AB0506"/>
    <w:rsid w:val="00AB175D"/>
    <w:rsid w:val="00AB4DCE"/>
    <w:rsid w:val="00AB6FA1"/>
    <w:rsid w:val="00AB7AAE"/>
    <w:rsid w:val="00AB7CB6"/>
    <w:rsid w:val="00AC06F0"/>
    <w:rsid w:val="00AC100E"/>
    <w:rsid w:val="00AC3401"/>
    <w:rsid w:val="00AC3956"/>
    <w:rsid w:val="00AC3B8E"/>
    <w:rsid w:val="00AC3D9C"/>
    <w:rsid w:val="00AC424C"/>
    <w:rsid w:val="00AC5D90"/>
    <w:rsid w:val="00AC5DB1"/>
    <w:rsid w:val="00AC6218"/>
    <w:rsid w:val="00AC6908"/>
    <w:rsid w:val="00AC7A1D"/>
    <w:rsid w:val="00AD0204"/>
    <w:rsid w:val="00AD0F57"/>
    <w:rsid w:val="00AD2EF1"/>
    <w:rsid w:val="00AD324C"/>
    <w:rsid w:val="00AD475B"/>
    <w:rsid w:val="00AD4A4D"/>
    <w:rsid w:val="00AD5717"/>
    <w:rsid w:val="00AE05BD"/>
    <w:rsid w:val="00AE17E3"/>
    <w:rsid w:val="00AE24BC"/>
    <w:rsid w:val="00AE62C2"/>
    <w:rsid w:val="00AE7846"/>
    <w:rsid w:val="00AE7D1E"/>
    <w:rsid w:val="00AF0055"/>
    <w:rsid w:val="00AF1176"/>
    <w:rsid w:val="00AF2C27"/>
    <w:rsid w:val="00AF445A"/>
    <w:rsid w:val="00AF5204"/>
    <w:rsid w:val="00AF5585"/>
    <w:rsid w:val="00AF55CD"/>
    <w:rsid w:val="00B00B76"/>
    <w:rsid w:val="00B00C48"/>
    <w:rsid w:val="00B0168E"/>
    <w:rsid w:val="00B01A25"/>
    <w:rsid w:val="00B049BE"/>
    <w:rsid w:val="00B04A0B"/>
    <w:rsid w:val="00B0515F"/>
    <w:rsid w:val="00B05878"/>
    <w:rsid w:val="00B06737"/>
    <w:rsid w:val="00B113ED"/>
    <w:rsid w:val="00B11703"/>
    <w:rsid w:val="00B1353C"/>
    <w:rsid w:val="00B13BB4"/>
    <w:rsid w:val="00B1437F"/>
    <w:rsid w:val="00B14FB3"/>
    <w:rsid w:val="00B152DC"/>
    <w:rsid w:val="00B15701"/>
    <w:rsid w:val="00B15A09"/>
    <w:rsid w:val="00B16738"/>
    <w:rsid w:val="00B172D2"/>
    <w:rsid w:val="00B17829"/>
    <w:rsid w:val="00B17D2B"/>
    <w:rsid w:val="00B20341"/>
    <w:rsid w:val="00B218AE"/>
    <w:rsid w:val="00B22105"/>
    <w:rsid w:val="00B223F7"/>
    <w:rsid w:val="00B24946"/>
    <w:rsid w:val="00B25817"/>
    <w:rsid w:val="00B2600A"/>
    <w:rsid w:val="00B26AA5"/>
    <w:rsid w:val="00B27E62"/>
    <w:rsid w:val="00B30272"/>
    <w:rsid w:val="00B31EDD"/>
    <w:rsid w:val="00B3286A"/>
    <w:rsid w:val="00B32AE5"/>
    <w:rsid w:val="00B33457"/>
    <w:rsid w:val="00B345F7"/>
    <w:rsid w:val="00B34D0B"/>
    <w:rsid w:val="00B36523"/>
    <w:rsid w:val="00B366E9"/>
    <w:rsid w:val="00B368B8"/>
    <w:rsid w:val="00B37432"/>
    <w:rsid w:val="00B414AC"/>
    <w:rsid w:val="00B42688"/>
    <w:rsid w:val="00B44647"/>
    <w:rsid w:val="00B44E6F"/>
    <w:rsid w:val="00B45B44"/>
    <w:rsid w:val="00B45B59"/>
    <w:rsid w:val="00B46D9B"/>
    <w:rsid w:val="00B4743D"/>
    <w:rsid w:val="00B47B2A"/>
    <w:rsid w:val="00B50450"/>
    <w:rsid w:val="00B508B8"/>
    <w:rsid w:val="00B51C2C"/>
    <w:rsid w:val="00B524FD"/>
    <w:rsid w:val="00B54483"/>
    <w:rsid w:val="00B557B7"/>
    <w:rsid w:val="00B561A2"/>
    <w:rsid w:val="00B57043"/>
    <w:rsid w:val="00B574C4"/>
    <w:rsid w:val="00B619DB"/>
    <w:rsid w:val="00B63BDC"/>
    <w:rsid w:val="00B64D50"/>
    <w:rsid w:val="00B6502C"/>
    <w:rsid w:val="00B65461"/>
    <w:rsid w:val="00B6576E"/>
    <w:rsid w:val="00B660CA"/>
    <w:rsid w:val="00B67B4C"/>
    <w:rsid w:val="00B67B9D"/>
    <w:rsid w:val="00B723E7"/>
    <w:rsid w:val="00B732D0"/>
    <w:rsid w:val="00B73793"/>
    <w:rsid w:val="00B73EEA"/>
    <w:rsid w:val="00B74E1D"/>
    <w:rsid w:val="00B75825"/>
    <w:rsid w:val="00B75B22"/>
    <w:rsid w:val="00B76761"/>
    <w:rsid w:val="00B771D7"/>
    <w:rsid w:val="00B77744"/>
    <w:rsid w:val="00B77ADF"/>
    <w:rsid w:val="00B80431"/>
    <w:rsid w:val="00B80BA9"/>
    <w:rsid w:val="00B80E12"/>
    <w:rsid w:val="00B81181"/>
    <w:rsid w:val="00B82879"/>
    <w:rsid w:val="00B83D88"/>
    <w:rsid w:val="00B8421A"/>
    <w:rsid w:val="00B84C35"/>
    <w:rsid w:val="00B850F0"/>
    <w:rsid w:val="00B853B4"/>
    <w:rsid w:val="00B868E2"/>
    <w:rsid w:val="00B8701D"/>
    <w:rsid w:val="00B90666"/>
    <w:rsid w:val="00B9092C"/>
    <w:rsid w:val="00B90C03"/>
    <w:rsid w:val="00B92647"/>
    <w:rsid w:val="00B92760"/>
    <w:rsid w:val="00B92F36"/>
    <w:rsid w:val="00B92F40"/>
    <w:rsid w:val="00B94F6A"/>
    <w:rsid w:val="00B9587B"/>
    <w:rsid w:val="00B96276"/>
    <w:rsid w:val="00B97919"/>
    <w:rsid w:val="00BA08CB"/>
    <w:rsid w:val="00BA1A86"/>
    <w:rsid w:val="00BA1FF3"/>
    <w:rsid w:val="00BA2267"/>
    <w:rsid w:val="00BA39C8"/>
    <w:rsid w:val="00BA3A2A"/>
    <w:rsid w:val="00BA6412"/>
    <w:rsid w:val="00BA668C"/>
    <w:rsid w:val="00BA793A"/>
    <w:rsid w:val="00BB0606"/>
    <w:rsid w:val="00BB1431"/>
    <w:rsid w:val="00BB1FFE"/>
    <w:rsid w:val="00BB498D"/>
    <w:rsid w:val="00BB7117"/>
    <w:rsid w:val="00BB74E5"/>
    <w:rsid w:val="00BB7568"/>
    <w:rsid w:val="00BB7B90"/>
    <w:rsid w:val="00BC0B87"/>
    <w:rsid w:val="00BC23F7"/>
    <w:rsid w:val="00BC2DF1"/>
    <w:rsid w:val="00BC43B7"/>
    <w:rsid w:val="00BC46AD"/>
    <w:rsid w:val="00BC6F39"/>
    <w:rsid w:val="00BC775A"/>
    <w:rsid w:val="00BD0CB1"/>
    <w:rsid w:val="00BD17C7"/>
    <w:rsid w:val="00BD22FE"/>
    <w:rsid w:val="00BD3A95"/>
    <w:rsid w:val="00BD3AC6"/>
    <w:rsid w:val="00BD458B"/>
    <w:rsid w:val="00BD511B"/>
    <w:rsid w:val="00BD55AD"/>
    <w:rsid w:val="00BD620E"/>
    <w:rsid w:val="00BD65D7"/>
    <w:rsid w:val="00BD6A8F"/>
    <w:rsid w:val="00BD734A"/>
    <w:rsid w:val="00BD760B"/>
    <w:rsid w:val="00BD7F40"/>
    <w:rsid w:val="00BE079D"/>
    <w:rsid w:val="00BE0EA7"/>
    <w:rsid w:val="00BE0F3A"/>
    <w:rsid w:val="00BE1438"/>
    <w:rsid w:val="00BE1CD6"/>
    <w:rsid w:val="00BE20FE"/>
    <w:rsid w:val="00BE2108"/>
    <w:rsid w:val="00BE4933"/>
    <w:rsid w:val="00BE520A"/>
    <w:rsid w:val="00BE5A41"/>
    <w:rsid w:val="00BE65C7"/>
    <w:rsid w:val="00BE710C"/>
    <w:rsid w:val="00BE780A"/>
    <w:rsid w:val="00BF095F"/>
    <w:rsid w:val="00BF1A24"/>
    <w:rsid w:val="00BF2779"/>
    <w:rsid w:val="00BF37CB"/>
    <w:rsid w:val="00BF38BD"/>
    <w:rsid w:val="00BF49AF"/>
    <w:rsid w:val="00BF4B99"/>
    <w:rsid w:val="00BF4D2C"/>
    <w:rsid w:val="00BF4EF9"/>
    <w:rsid w:val="00BF55DB"/>
    <w:rsid w:val="00BF63F1"/>
    <w:rsid w:val="00C00B56"/>
    <w:rsid w:val="00C00BF9"/>
    <w:rsid w:val="00C01CD2"/>
    <w:rsid w:val="00C02324"/>
    <w:rsid w:val="00C023D0"/>
    <w:rsid w:val="00C032CB"/>
    <w:rsid w:val="00C039DF"/>
    <w:rsid w:val="00C0495D"/>
    <w:rsid w:val="00C05E24"/>
    <w:rsid w:val="00C06709"/>
    <w:rsid w:val="00C06A5B"/>
    <w:rsid w:val="00C07BBA"/>
    <w:rsid w:val="00C102A2"/>
    <w:rsid w:val="00C11973"/>
    <w:rsid w:val="00C1238B"/>
    <w:rsid w:val="00C139EA"/>
    <w:rsid w:val="00C14056"/>
    <w:rsid w:val="00C15434"/>
    <w:rsid w:val="00C179AA"/>
    <w:rsid w:val="00C200AF"/>
    <w:rsid w:val="00C20685"/>
    <w:rsid w:val="00C20F65"/>
    <w:rsid w:val="00C21180"/>
    <w:rsid w:val="00C2136B"/>
    <w:rsid w:val="00C21402"/>
    <w:rsid w:val="00C22668"/>
    <w:rsid w:val="00C2295E"/>
    <w:rsid w:val="00C22DC0"/>
    <w:rsid w:val="00C2426D"/>
    <w:rsid w:val="00C279FC"/>
    <w:rsid w:val="00C320BC"/>
    <w:rsid w:val="00C330D1"/>
    <w:rsid w:val="00C343EA"/>
    <w:rsid w:val="00C34D5C"/>
    <w:rsid w:val="00C367C9"/>
    <w:rsid w:val="00C37CB2"/>
    <w:rsid w:val="00C4180E"/>
    <w:rsid w:val="00C4582A"/>
    <w:rsid w:val="00C45ABB"/>
    <w:rsid w:val="00C46530"/>
    <w:rsid w:val="00C4663A"/>
    <w:rsid w:val="00C47DF5"/>
    <w:rsid w:val="00C47F9B"/>
    <w:rsid w:val="00C512A8"/>
    <w:rsid w:val="00C52F45"/>
    <w:rsid w:val="00C544F0"/>
    <w:rsid w:val="00C56490"/>
    <w:rsid w:val="00C6091A"/>
    <w:rsid w:val="00C6091E"/>
    <w:rsid w:val="00C623CB"/>
    <w:rsid w:val="00C62698"/>
    <w:rsid w:val="00C63294"/>
    <w:rsid w:val="00C6356F"/>
    <w:rsid w:val="00C6447D"/>
    <w:rsid w:val="00C654E0"/>
    <w:rsid w:val="00C65BF3"/>
    <w:rsid w:val="00C66027"/>
    <w:rsid w:val="00C7086A"/>
    <w:rsid w:val="00C7093D"/>
    <w:rsid w:val="00C71174"/>
    <w:rsid w:val="00C7127C"/>
    <w:rsid w:val="00C71755"/>
    <w:rsid w:val="00C724F8"/>
    <w:rsid w:val="00C72791"/>
    <w:rsid w:val="00C7282C"/>
    <w:rsid w:val="00C72915"/>
    <w:rsid w:val="00C72C6E"/>
    <w:rsid w:val="00C7327C"/>
    <w:rsid w:val="00C73635"/>
    <w:rsid w:val="00C74130"/>
    <w:rsid w:val="00C75D10"/>
    <w:rsid w:val="00C762D2"/>
    <w:rsid w:val="00C7639A"/>
    <w:rsid w:val="00C7764D"/>
    <w:rsid w:val="00C77A1C"/>
    <w:rsid w:val="00C8073B"/>
    <w:rsid w:val="00C807D4"/>
    <w:rsid w:val="00C81944"/>
    <w:rsid w:val="00C81BDD"/>
    <w:rsid w:val="00C82C00"/>
    <w:rsid w:val="00C8492A"/>
    <w:rsid w:val="00C84C2E"/>
    <w:rsid w:val="00C85C63"/>
    <w:rsid w:val="00C87B05"/>
    <w:rsid w:val="00C9079C"/>
    <w:rsid w:val="00C91C97"/>
    <w:rsid w:val="00C9393A"/>
    <w:rsid w:val="00C94264"/>
    <w:rsid w:val="00C949CB"/>
    <w:rsid w:val="00C94A16"/>
    <w:rsid w:val="00C96D1C"/>
    <w:rsid w:val="00C97DCE"/>
    <w:rsid w:val="00CA1424"/>
    <w:rsid w:val="00CA21C9"/>
    <w:rsid w:val="00CA3652"/>
    <w:rsid w:val="00CA45FC"/>
    <w:rsid w:val="00CA53EF"/>
    <w:rsid w:val="00CA5D21"/>
    <w:rsid w:val="00CA62B3"/>
    <w:rsid w:val="00CA6373"/>
    <w:rsid w:val="00CA6E29"/>
    <w:rsid w:val="00CA705C"/>
    <w:rsid w:val="00CB1364"/>
    <w:rsid w:val="00CB13CB"/>
    <w:rsid w:val="00CB2A1E"/>
    <w:rsid w:val="00CB4DA2"/>
    <w:rsid w:val="00CB66AD"/>
    <w:rsid w:val="00CB66E4"/>
    <w:rsid w:val="00CB694C"/>
    <w:rsid w:val="00CC02F0"/>
    <w:rsid w:val="00CC2755"/>
    <w:rsid w:val="00CC28E7"/>
    <w:rsid w:val="00CC29FE"/>
    <w:rsid w:val="00CC31FB"/>
    <w:rsid w:val="00CC44F9"/>
    <w:rsid w:val="00CC4E46"/>
    <w:rsid w:val="00CC500B"/>
    <w:rsid w:val="00CC5538"/>
    <w:rsid w:val="00CC6997"/>
    <w:rsid w:val="00CC76D7"/>
    <w:rsid w:val="00CC777A"/>
    <w:rsid w:val="00CD0249"/>
    <w:rsid w:val="00CD091A"/>
    <w:rsid w:val="00CD1247"/>
    <w:rsid w:val="00CD1D75"/>
    <w:rsid w:val="00CD1EF6"/>
    <w:rsid w:val="00CD2DDA"/>
    <w:rsid w:val="00CD339D"/>
    <w:rsid w:val="00CD3560"/>
    <w:rsid w:val="00CD4DD5"/>
    <w:rsid w:val="00CD4EAA"/>
    <w:rsid w:val="00CD6C5A"/>
    <w:rsid w:val="00CD6DEE"/>
    <w:rsid w:val="00CD7A32"/>
    <w:rsid w:val="00CE2747"/>
    <w:rsid w:val="00CE391B"/>
    <w:rsid w:val="00CE3CD9"/>
    <w:rsid w:val="00CE40BD"/>
    <w:rsid w:val="00CE5CB2"/>
    <w:rsid w:val="00CF061A"/>
    <w:rsid w:val="00CF1FC1"/>
    <w:rsid w:val="00CF2287"/>
    <w:rsid w:val="00CF25F1"/>
    <w:rsid w:val="00CF264F"/>
    <w:rsid w:val="00CF2A7E"/>
    <w:rsid w:val="00CF35D9"/>
    <w:rsid w:val="00CF3E88"/>
    <w:rsid w:val="00CF5143"/>
    <w:rsid w:val="00CF5452"/>
    <w:rsid w:val="00CF5BB9"/>
    <w:rsid w:val="00CF6B10"/>
    <w:rsid w:val="00CF6BD7"/>
    <w:rsid w:val="00CF75B7"/>
    <w:rsid w:val="00CF7C1F"/>
    <w:rsid w:val="00D007EB"/>
    <w:rsid w:val="00D013A2"/>
    <w:rsid w:val="00D02EE5"/>
    <w:rsid w:val="00D0362C"/>
    <w:rsid w:val="00D0368F"/>
    <w:rsid w:val="00D056D7"/>
    <w:rsid w:val="00D05BE9"/>
    <w:rsid w:val="00D07F15"/>
    <w:rsid w:val="00D11401"/>
    <w:rsid w:val="00D11758"/>
    <w:rsid w:val="00D119AA"/>
    <w:rsid w:val="00D11BF6"/>
    <w:rsid w:val="00D13621"/>
    <w:rsid w:val="00D141DF"/>
    <w:rsid w:val="00D14214"/>
    <w:rsid w:val="00D14A07"/>
    <w:rsid w:val="00D14C51"/>
    <w:rsid w:val="00D16707"/>
    <w:rsid w:val="00D1690A"/>
    <w:rsid w:val="00D17F6F"/>
    <w:rsid w:val="00D21860"/>
    <w:rsid w:val="00D21BDE"/>
    <w:rsid w:val="00D21E1A"/>
    <w:rsid w:val="00D226E5"/>
    <w:rsid w:val="00D23AC5"/>
    <w:rsid w:val="00D240C7"/>
    <w:rsid w:val="00D24339"/>
    <w:rsid w:val="00D24930"/>
    <w:rsid w:val="00D24AFE"/>
    <w:rsid w:val="00D267F1"/>
    <w:rsid w:val="00D27711"/>
    <w:rsid w:val="00D30A36"/>
    <w:rsid w:val="00D310E9"/>
    <w:rsid w:val="00D324C7"/>
    <w:rsid w:val="00D34A22"/>
    <w:rsid w:val="00D35132"/>
    <w:rsid w:val="00D35CCE"/>
    <w:rsid w:val="00D36415"/>
    <w:rsid w:val="00D36A15"/>
    <w:rsid w:val="00D370CB"/>
    <w:rsid w:val="00D37D3B"/>
    <w:rsid w:val="00D409A2"/>
    <w:rsid w:val="00D4127B"/>
    <w:rsid w:val="00D41FC9"/>
    <w:rsid w:val="00D421B3"/>
    <w:rsid w:val="00D429E4"/>
    <w:rsid w:val="00D42AF9"/>
    <w:rsid w:val="00D4301C"/>
    <w:rsid w:val="00D439E0"/>
    <w:rsid w:val="00D43BDB"/>
    <w:rsid w:val="00D45DFD"/>
    <w:rsid w:val="00D4772E"/>
    <w:rsid w:val="00D4779D"/>
    <w:rsid w:val="00D50753"/>
    <w:rsid w:val="00D51041"/>
    <w:rsid w:val="00D5108D"/>
    <w:rsid w:val="00D51505"/>
    <w:rsid w:val="00D51A68"/>
    <w:rsid w:val="00D5256D"/>
    <w:rsid w:val="00D53BB3"/>
    <w:rsid w:val="00D53E8A"/>
    <w:rsid w:val="00D54617"/>
    <w:rsid w:val="00D5506F"/>
    <w:rsid w:val="00D561F5"/>
    <w:rsid w:val="00D562E2"/>
    <w:rsid w:val="00D57D98"/>
    <w:rsid w:val="00D57E2C"/>
    <w:rsid w:val="00D6120D"/>
    <w:rsid w:val="00D6143E"/>
    <w:rsid w:val="00D61694"/>
    <w:rsid w:val="00D61BED"/>
    <w:rsid w:val="00D62974"/>
    <w:rsid w:val="00D64055"/>
    <w:rsid w:val="00D64147"/>
    <w:rsid w:val="00D6490C"/>
    <w:rsid w:val="00D64DF4"/>
    <w:rsid w:val="00D650D1"/>
    <w:rsid w:val="00D654D6"/>
    <w:rsid w:val="00D65A17"/>
    <w:rsid w:val="00D65B02"/>
    <w:rsid w:val="00D6604B"/>
    <w:rsid w:val="00D6650E"/>
    <w:rsid w:val="00D67D67"/>
    <w:rsid w:val="00D67EE0"/>
    <w:rsid w:val="00D67FD1"/>
    <w:rsid w:val="00D704AD"/>
    <w:rsid w:val="00D706F2"/>
    <w:rsid w:val="00D7367D"/>
    <w:rsid w:val="00D73A0D"/>
    <w:rsid w:val="00D73D69"/>
    <w:rsid w:val="00D73F68"/>
    <w:rsid w:val="00D749C5"/>
    <w:rsid w:val="00D74A45"/>
    <w:rsid w:val="00D74A87"/>
    <w:rsid w:val="00D75495"/>
    <w:rsid w:val="00D758A6"/>
    <w:rsid w:val="00D76D1F"/>
    <w:rsid w:val="00D76D93"/>
    <w:rsid w:val="00D7749F"/>
    <w:rsid w:val="00D7793A"/>
    <w:rsid w:val="00D81561"/>
    <w:rsid w:val="00D815FC"/>
    <w:rsid w:val="00D8481E"/>
    <w:rsid w:val="00D84C5E"/>
    <w:rsid w:val="00D8610D"/>
    <w:rsid w:val="00D86300"/>
    <w:rsid w:val="00D869D4"/>
    <w:rsid w:val="00D86C9C"/>
    <w:rsid w:val="00D86EB1"/>
    <w:rsid w:val="00D902E5"/>
    <w:rsid w:val="00D91AB3"/>
    <w:rsid w:val="00D92A98"/>
    <w:rsid w:val="00D94262"/>
    <w:rsid w:val="00D949D0"/>
    <w:rsid w:val="00D9675A"/>
    <w:rsid w:val="00D970C8"/>
    <w:rsid w:val="00D97509"/>
    <w:rsid w:val="00DA0AA5"/>
    <w:rsid w:val="00DA2167"/>
    <w:rsid w:val="00DA31C4"/>
    <w:rsid w:val="00DA5794"/>
    <w:rsid w:val="00DB0EC1"/>
    <w:rsid w:val="00DB2093"/>
    <w:rsid w:val="00DB3C1E"/>
    <w:rsid w:val="00DB4DAC"/>
    <w:rsid w:val="00DC017E"/>
    <w:rsid w:val="00DC0C14"/>
    <w:rsid w:val="00DC0FB5"/>
    <w:rsid w:val="00DC2128"/>
    <w:rsid w:val="00DC2689"/>
    <w:rsid w:val="00DC300A"/>
    <w:rsid w:val="00DC3AFF"/>
    <w:rsid w:val="00DC3F73"/>
    <w:rsid w:val="00DC690F"/>
    <w:rsid w:val="00DC6FA9"/>
    <w:rsid w:val="00DC7FAC"/>
    <w:rsid w:val="00DD0B63"/>
    <w:rsid w:val="00DD15F4"/>
    <w:rsid w:val="00DD6482"/>
    <w:rsid w:val="00DE0F89"/>
    <w:rsid w:val="00DE340F"/>
    <w:rsid w:val="00DE4C6F"/>
    <w:rsid w:val="00DE661E"/>
    <w:rsid w:val="00DE68E0"/>
    <w:rsid w:val="00DE7A2E"/>
    <w:rsid w:val="00DF1593"/>
    <w:rsid w:val="00DF3AF1"/>
    <w:rsid w:val="00DF3E0A"/>
    <w:rsid w:val="00DF4443"/>
    <w:rsid w:val="00DF549D"/>
    <w:rsid w:val="00DF6C0C"/>
    <w:rsid w:val="00DF6F96"/>
    <w:rsid w:val="00E00140"/>
    <w:rsid w:val="00E00455"/>
    <w:rsid w:val="00E008F2"/>
    <w:rsid w:val="00E017CF"/>
    <w:rsid w:val="00E030A6"/>
    <w:rsid w:val="00E04354"/>
    <w:rsid w:val="00E04F77"/>
    <w:rsid w:val="00E06001"/>
    <w:rsid w:val="00E079B6"/>
    <w:rsid w:val="00E07CC3"/>
    <w:rsid w:val="00E102A6"/>
    <w:rsid w:val="00E11D7B"/>
    <w:rsid w:val="00E12325"/>
    <w:rsid w:val="00E152C7"/>
    <w:rsid w:val="00E15BC9"/>
    <w:rsid w:val="00E165BF"/>
    <w:rsid w:val="00E17E32"/>
    <w:rsid w:val="00E20A9E"/>
    <w:rsid w:val="00E219FE"/>
    <w:rsid w:val="00E226BE"/>
    <w:rsid w:val="00E23CEA"/>
    <w:rsid w:val="00E24444"/>
    <w:rsid w:val="00E25236"/>
    <w:rsid w:val="00E253BD"/>
    <w:rsid w:val="00E30E2E"/>
    <w:rsid w:val="00E319B4"/>
    <w:rsid w:val="00E31B22"/>
    <w:rsid w:val="00E31DBB"/>
    <w:rsid w:val="00E330ED"/>
    <w:rsid w:val="00E3408C"/>
    <w:rsid w:val="00E34F51"/>
    <w:rsid w:val="00E37955"/>
    <w:rsid w:val="00E41819"/>
    <w:rsid w:val="00E422F2"/>
    <w:rsid w:val="00E43064"/>
    <w:rsid w:val="00E431BA"/>
    <w:rsid w:val="00E43C7C"/>
    <w:rsid w:val="00E46E18"/>
    <w:rsid w:val="00E47443"/>
    <w:rsid w:val="00E50267"/>
    <w:rsid w:val="00E50FB2"/>
    <w:rsid w:val="00E5178B"/>
    <w:rsid w:val="00E518B8"/>
    <w:rsid w:val="00E52640"/>
    <w:rsid w:val="00E526BA"/>
    <w:rsid w:val="00E52E8C"/>
    <w:rsid w:val="00E55653"/>
    <w:rsid w:val="00E55D31"/>
    <w:rsid w:val="00E55F6A"/>
    <w:rsid w:val="00E5716A"/>
    <w:rsid w:val="00E57546"/>
    <w:rsid w:val="00E57BA8"/>
    <w:rsid w:val="00E6068C"/>
    <w:rsid w:val="00E62B1E"/>
    <w:rsid w:val="00E63FD7"/>
    <w:rsid w:val="00E70550"/>
    <w:rsid w:val="00E7168D"/>
    <w:rsid w:val="00E7289B"/>
    <w:rsid w:val="00E75BB9"/>
    <w:rsid w:val="00E80C7A"/>
    <w:rsid w:val="00E80EAE"/>
    <w:rsid w:val="00E81298"/>
    <w:rsid w:val="00E849BA"/>
    <w:rsid w:val="00E867F2"/>
    <w:rsid w:val="00E873DB"/>
    <w:rsid w:val="00E875E0"/>
    <w:rsid w:val="00E87B52"/>
    <w:rsid w:val="00E905E9"/>
    <w:rsid w:val="00E90BAD"/>
    <w:rsid w:val="00E92EA2"/>
    <w:rsid w:val="00E9494F"/>
    <w:rsid w:val="00E94B6A"/>
    <w:rsid w:val="00E961AE"/>
    <w:rsid w:val="00EA06CC"/>
    <w:rsid w:val="00EA0A99"/>
    <w:rsid w:val="00EA26E9"/>
    <w:rsid w:val="00EA2EB1"/>
    <w:rsid w:val="00EA394F"/>
    <w:rsid w:val="00EA3A1B"/>
    <w:rsid w:val="00EA5944"/>
    <w:rsid w:val="00EA61CA"/>
    <w:rsid w:val="00EA6581"/>
    <w:rsid w:val="00EA7658"/>
    <w:rsid w:val="00EA76E2"/>
    <w:rsid w:val="00EB06DB"/>
    <w:rsid w:val="00EB0D35"/>
    <w:rsid w:val="00EB2119"/>
    <w:rsid w:val="00EB236C"/>
    <w:rsid w:val="00EB24A4"/>
    <w:rsid w:val="00EB2E06"/>
    <w:rsid w:val="00EB7013"/>
    <w:rsid w:val="00EC139E"/>
    <w:rsid w:val="00EC1ACE"/>
    <w:rsid w:val="00EC1C8F"/>
    <w:rsid w:val="00EC5A8C"/>
    <w:rsid w:val="00EC69BB"/>
    <w:rsid w:val="00ED0A7F"/>
    <w:rsid w:val="00ED3A58"/>
    <w:rsid w:val="00ED3C14"/>
    <w:rsid w:val="00ED46B3"/>
    <w:rsid w:val="00ED4F7C"/>
    <w:rsid w:val="00ED5420"/>
    <w:rsid w:val="00ED5A5C"/>
    <w:rsid w:val="00ED6DE1"/>
    <w:rsid w:val="00ED707F"/>
    <w:rsid w:val="00ED70BF"/>
    <w:rsid w:val="00EE032C"/>
    <w:rsid w:val="00EE33B3"/>
    <w:rsid w:val="00EE4448"/>
    <w:rsid w:val="00EE4EC7"/>
    <w:rsid w:val="00EE549C"/>
    <w:rsid w:val="00EE5A67"/>
    <w:rsid w:val="00EE5EE8"/>
    <w:rsid w:val="00EE69A9"/>
    <w:rsid w:val="00EE7836"/>
    <w:rsid w:val="00EF0226"/>
    <w:rsid w:val="00EF03C1"/>
    <w:rsid w:val="00EF1F77"/>
    <w:rsid w:val="00EF2422"/>
    <w:rsid w:val="00EF2E8D"/>
    <w:rsid w:val="00EF4034"/>
    <w:rsid w:val="00EF5A53"/>
    <w:rsid w:val="00EF6CE8"/>
    <w:rsid w:val="00F01C0F"/>
    <w:rsid w:val="00F02DE2"/>
    <w:rsid w:val="00F0333C"/>
    <w:rsid w:val="00F0373C"/>
    <w:rsid w:val="00F03E04"/>
    <w:rsid w:val="00F03F7F"/>
    <w:rsid w:val="00F0450A"/>
    <w:rsid w:val="00F04A4C"/>
    <w:rsid w:val="00F04DA6"/>
    <w:rsid w:val="00F05595"/>
    <w:rsid w:val="00F057A7"/>
    <w:rsid w:val="00F059FC"/>
    <w:rsid w:val="00F06595"/>
    <w:rsid w:val="00F06D95"/>
    <w:rsid w:val="00F07675"/>
    <w:rsid w:val="00F07843"/>
    <w:rsid w:val="00F07DE8"/>
    <w:rsid w:val="00F100C8"/>
    <w:rsid w:val="00F11738"/>
    <w:rsid w:val="00F11D4C"/>
    <w:rsid w:val="00F11EC4"/>
    <w:rsid w:val="00F129EF"/>
    <w:rsid w:val="00F15602"/>
    <w:rsid w:val="00F17165"/>
    <w:rsid w:val="00F20E71"/>
    <w:rsid w:val="00F21F95"/>
    <w:rsid w:val="00F23135"/>
    <w:rsid w:val="00F240F5"/>
    <w:rsid w:val="00F244EA"/>
    <w:rsid w:val="00F24693"/>
    <w:rsid w:val="00F261E9"/>
    <w:rsid w:val="00F2683F"/>
    <w:rsid w:val="00F26B59"/>
    <w:rsid w:val="00F30A87"/>
    <w:rsid w:val="00F31673"/>
    <w:rsid w:val="00F31BB7"/>
    <w:rsid w:val="00F31C7F"/>
    <w:rsid w:val="00F32D25"/>
    <w:rsid w:val="00F33980"/>
    <w:rsid w:val="00F33F92"/>
    <w:rsid w:val="00F363D4"/>
    <w:rsid w:val="00F36FC9"/>
    <w:rsid w:val="00F40BEC"/>
    <w:rsid w:val="00F416AB"/>
    <w:rsid w:val="00F431EA"/>
    <w:rsid w:val="00F4451E"/>
    <w:rsid w:val="00F44F57"/>
    <w:rsid w:val="00F44FBD"/>
    <w:rsid w:val="00F45EAC"/>
    <w:rsid w:val="00F460AB"/>
    <w:rsid w:val="00F468EE"/>
    <w:rsid w:val="00F47A6E"/>
    <w:rsid w:val="00F50DB4"/>
    <w:rsid w:val="00F51DAD"/>
    <w:rsid w:val="00F52C6C"/>
    <w:rsid w:val="00F5402D"/>
    <w:rsid w:val="00F61BD7"/>
    <w:rsid w:val="00F632B2"/>
    <w:rsid w:val="00F63982"/>
    <w:rsid w:val="00F64B7E"/>
    <w:rsid w:val="00F66260"/>
    <w:rsid w:val="00F6685E"/>
    <w:rsid w:val="00F673B3"/>
    <w:rsid w:val="00F72BC7"/>
    <w:rsid w:val="00F75624"/>
    <w:rsid w:val="00F760BB"/>
    <w:rsid w:val="00F76867"/>
    <w:rsid w:val="00F812A6"/>
    <w:rsid w:val="00F81D1E"/>
    <w:rsid w:val="00F8237A"/>
    <w:rsid w:val="00F82C0F"/>
    <w:rsid w:val="00F82EFA"/>
    <w:rsid w:val="00F8392F"/>
    <w:rsid w:val="00F8476E"/>
    <w:rsid w:val="00F84C82"/>
    <w:rsid w:val="00F84EE6"/>
    <w:rsid w:val="00F852B8"/>
    <w:rsid w:val="00F857FB"/>
    <w:rsid w:val="00F85D23"/>
    <w:rsid w:val="00F85E76"/>
    <w:rsid w:val="00F87E70"/>
    <w:rsid w:val="00F90903"/>
    <w:rsid w:val="00F9155B"/>
    <w:rsid w:val="00F91D52"/>
    <w:rsid w:val="00F920C6"/>
    <w:rsid w:val="00F9381A"/>
    <w:rsid w:val="00F941B7"/>
    <w:rsid w:val="00F941E5"/>
    <w:rsid w:val="00F94520"/>
    <w:rsid w:val="00F945E1"/>
    <w:rsid w:val="00F949ED"/>
    <w:rsid w:val="00F94CCC"/>
    <w:rsid w:val="00F94F27"/>
    <w:rsid w:val="00F95A63"/>
    <w:rsid w:val="00F96052"/>
    <w:rsid w:val="00F96A17"/>
    <w:rsid w:val="00F97D86"/>
    <w:rsid w:val="00FA103D"/>
    <w:rsid w:val="00FA15ED"/>
    <w:rsid w:val="00FA2547"/>
    <w:rsid w:val="00FA2A37"/>
    <w:rsid w:val="00FA7E8D"/>
    <w:rsid w:val="00FB03A1"/>
    <w:rsid w:val="00FB13FF"/>
    <w:rsid w:val="00FB1441"/>
    <w:rsid w:val="00FB1828"/>
    <w:rsid w:val="00FB40BC"/>
    <w:rsid w:val="00FB47B8"/>
    <w:rsid w:val="00FB4B04"/>
    <w:rsid w:val="00FB4EED"/>
    <w:rsid w:val="00FB513B"/>
    <w:rsid w:val="00FB55D3"/>
    <w:rsid w:val="00FB592A"/>
    <w:rsid w:val="00FB62BA"/>
    <w:rsid w:val="00FB7968"/>
    <w:rsid w:val="00FB7C0D"/>
    <w:rsid w:val="00FB7E58"/>
    <w:rsid w:val="00FC1445"/>
    <w:rsid w:val="00FC1446"/>
    <w:rsid w:val="00FC2CD1"/>
    <w:rsid w:val="00FC479D"/>
    <w:rsid w:val="00FC4C71"/>
    <w:rsid w:val="00FC5646"/>
    <w:rsid w:val="00FC5662"/>
    <w:rsid w:val="00FC5AB2"/>
    <w:rsid w:val="00FC7FFB"/>
    <w:rsid w:val="00FD007C"/>
    <w:rsid w:val="00FD2702"/>
    <w:rsid w:val="00FD6469"/>
    <w:rsid w:val="00FD6B5F"/>
    <w:rsid w:val="00FD6FBF"/>
    <w:rsid w:val="00FD7199"/>
    <w:rsid w:val="00FE248B"/>
    <w:rsid w:val="00FE375B"/>
    <w:rsid w:val="00FE4BA6"/>
    <w:rsid w:val="00FE4CB1"/>
    <w:rsid w:val="00FE54A5"/>
    <w:rsid w:val="00FE6748"/>
    <w:rsid w:val="00FE6BF2"/>
    <w:rsid w:val="00FE6F9D"/>
    <w:rsid w:val="00FE7403"/>
    <w:rsid w:val="00FF05E2"/>
    <w:rsid w:val="00FF13B3"/>
    <w:rsid w:val="00FF1AE0"/>
    <w:rsid w:val="00FF1EAB"/>
    <w:rsid w:val="00FF29C5"/>
    <w:rsid w:val="00FF3797"/>
    <w:rsid w:val="00FF46FE"/>
    <w:rsid w:val="00FF496A"/>
    <w:rsid w:val="00FF4A0B"/>
    <w:rsid w:val="00FF569C"/>
    <w:rsid w:val="00FF5793"/>
    <w:rsid w:val="00FF6650"/>
    <w:rsid w:val="2F8EE43B"/>
    <w:rsid w:val="33E7A172"/>
    <w:rsid w:val="34C675A7"/>
    <w:rsid w:val="34E56129"/>
    <w:rsid w:val="373BF32D"/>
    <w:rsid w:val="5D3A396E"/>
    <w:rsid w:val="6A3004EA"/>
    <w:rsid w:val="6CFB9941"/>
    <w:rsid w:val="6D505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38FBA"/>
  <w15:chartTrackingRefBased/>
  <w15:docId w15:val="{A15E01DD-5E34-43B5-8D5B-B4E98C57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478"/>
    <w:pPr>
      <w:widowControl w:val="0"/>
      <w:autoSpaceDE w:val="0"/>
      <w:autoSpaceDN w:val="0"/>
      <w:spacing w:after="0" w:line="240" w:lineRule="auto"/>
    </w:pPr>
    <w:rPr>
      <w:rFonts w:ascii="Arial" w:eastAsia="Arial" w:hAnsi="Arial" w:cs="Arial"/>
      <w:lang w:val="es-ES" w:eastAsia="es-ES" w:bidi="es-ES"/>
    </w:rPr>
  </w:style>
  <w:style w:type="paragraph" w:styleId="Ttulo3">
    <w:name w:val="heading 3"/>
    <w:basedOn w:val="Normal"/>
    <w:next w:val="Normal"/>
    <w:link w:val="Ttulo3Car"/>
    <w:uiPriority w:val="9"/>
    <w:semiHidden/>
    <w:unhideWhenUsed/>
    <w:qFormat/>
    <w:rsid w:val="009D509B"/>
    <w:pPr>
      <w:keepNext/>
      <w:keepLines/>
      <w:widowControl/>
      <w:autoSpaceDE/>
      <w:autoSpaceDN/>
      <w:spacing w:before="40" w:line="276" w:lineRule="auto"/>
      <w:outlineLvl w:val="2"/>
    </w:pPr>
    <w:rPr>
      <w:rFonts w:ascii="Calibri Light" w:eastAsia="Times New Roman" w:hAnsi="Calibri Light" w:cs="Times New Roman"/>
      <w:color w:val="1F4D78"/>
      <w:sz w:val="24"/>
      <w:szCs w:val="24"/>
      <w:lang w:val="es-CO" w:eastAsia="en-US" w:bidi="ar-SA"/>
    </w:rPr>
  </w:style>
  <w:style w:type="paragraph" w:styleId="Ttulo4">
    <w:name w:val="heading 4"/>
    <w:basedOn w:val="Normal"/>
    <w:next w:val="Normal"/>
    <w:link w:val="Ttulo4Car"/>
    <w:uiPriority w:val="9"/>
    <w:unhideWhenUsed/>
    <w:qFormat/>
    <w:rsid w:val="009D509B"/>
    <w:pPr>
      <w:keepNext/>
      <w:keepLines/>
      <w:widowControl/>
      <w:autoSpaceDE/>
      <w:autoSpaceDN/>
      <w:spacing w:before="40" w:line="276" w:lineRule="auto"/>
      <w:outlineLvl w:val="3"/>
    </w:pPr>
    <w:rPr>
      <w:rFonts w:ascii="Calibri Light" w:eastAsia="Times New Roman" w:hAnsi="Calibri Light" w:cs="Times New Roman"/>
      <w:i/>
      <w:iCs/>
      <w:color w:val="2E74B5"/>
      <w:lang w:val="es-CO"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rsid w:val="009D509B"/>
    <w:rPr>
      <w:rFonts w:ascii="Calibri Light" w:eastAsia="Times New Roman" w:hAnsi="Calibri Light" w:cs="Times New Roman"/>
      <w:color w:val="1F4D78"/>
      <w:sz w:val="24"/>
      <w:szCs w:val="24"/>
    </w:rPr>
  </w:style>
  <w:style w:type="character" w:customStyle="1" w:styleId="Ttulo4Car">
    <w:name w:val="Título 4 Car"/>
    <w:basedOn w:val="Fuentedeprrafopredeter"/>
    <w:link w:val="Ttulo4"/>
    <w:uiPriority w:val="9"/>
    <w:rsid w:val="009D509B"/>
    <w:rPr>
      <w:rFonts w:ascii="Calibri Light" w:eastAsia="Times New Roman" w:hAnsi="Calibri Light" w:cs="Times New Roman"/>
      <w:i/>
      <w:iCs/>
      <w:color w:val="2E74B5"/>
    </w:rPr>
  </w:style>
  <w:style w:type="paragraph" w:styleId="Textoindependiente">
    <w:name w:val="Body Text"/>
    <w:basedOn w:val="Normal"/>
    <w:link w:val="TextoindependienteCar"/>
    <w:uiPriority w:val="1"/>
    <w:qFormat/>
    <w:rsid w:val="000E3478"/>
    <w:pPr>
      <w:spacing w:before="9"/>
    </w:pPr>
    <w:rPr>
      <w:rFonts w:ascii="Times New Roman" w:eastAsia="Times New Roman" w:hAnsi="Times New Roman" w:cs="Times New Roman"/>
      <w:b/>
      <w:bCs/>
      <w:sz w:val="12"/>
      <w:szCs w:val="12"/>
    </w:rPr>
  </w:style>
  <w:style w:type="character" w:customStyle="1" w:styleId="TextoindependienteCar">
    <w:name w:val="Texto independiente Car"/>
    <w:basedOn w:val="Fuentedeprrafopredeter"/>
    <w:link w:val="Textoindependiente"/>
    <w:uiPriority w:val="1"/>
    <w:rsid w:val="000E3478"/>
    <w:rPr>
      <w:rFonts w:ascii="Times New Roman" w:eastAsia="Times New Roman" w:hAnsi="Times New Roman" w:cs="Times New Roman"/>
      <w:b/>
      <w:bCs/>
      <w:sz w:val="12"/>
      <w:szCs w:val="12"/>
      <w:lang w:val="es-ES" w:eastAsia="es-ES" w:bidi="es-ES"/>
    </w:rPr>
  </w:style>
  <w:style w:type="paragraph" w:styleId="Prrafodelista">
    <w:name w:val="List Paragraph"/>
    <w:aliases w:val="Bullets,Bullet List,FooterText,numbered,List Paragraph1,Paragraphe de liste1,lp1,List Paragraph,Scitum normal,HOJA,Bolita,BOLADEF,Párrafo de lista21,BOLA,Nivel 1 OS,Colorful List Accent 1,Colorful List - Accent 11,titulo 3,Ha,EITI list"/>
    <w:basedOn w:val="Normal"/>
    <w:link w:val="PrrafodelistaCar"/>
    <w:qFormat/>
    <w:rsid w:val="000E3478"/>
  </w:style>
  <w:style w:type="character" w:customStyle="1" w:styleId="PrrafodelistaCar">
    <w:name w:val="Párrafo de lista Car"/>
    <w:aliases w:val="Bullets Car,Bullet List Car,FooterText Car,numbered Car,List Paragraph1 Car,Paragraphe de liste1 Car,lp1 Car,List Paragraph Car,Scitum normal Car,HOJA Car,Bolita Car,BOLADEF Car,Párrafo de lista21 Car,BOLA Car,Nivel 1 OS Car,Ha Car"/>
    <w:basedOn w:val="Fuentedeprrafopredeter"/>
    <w:link w:val="Prrafodelista"/>
    <w:uiPriority w:val="34"/>
    <w:qFormat/>
    <w:locked/>
    <w:rsid w:val="00657E30"/>
    <w:rPr>
      <w:rFonts w:ascii="Arial" w:eastAsia="Arial" w:hAnsi="Arial" w:cs="Arial"/>
      <w:lang w:val="es-ES" w:eastAsia="es-ES" w:bidi="es-ES"/>
    </w:rPr>
  </w:style>
  <w:style w:type="paragraph" w:customStyle="1" w:styleId="TableParagraph">
    <w:name w:val="Table Paragraph"/>
    <w:basedOn w:val="Normal"/>
    <w:uiPriority w:val="1"/>
    <w:qFormat/>
    <w:rsid w:val="000E3478"/>
  </w:style>
  <w:style w:type="paragraph" w:styleId="NormalWeb">
    <w:name w:val="Normal (Web)"/>
    <w:basedOn w:val="Normal"/>
    <w:uiPriority w:val="99"/>
    <w:unhideWhenUsed/>
    <w:rsid w:val="00D654D6"/>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Texto nota pie Ca"/>
    <w:basedOn w:val="Normal"/>
    <w:link w:val="TextonotapieCar"/>
    <w:unhideWhenUsed/>
    <w:qFormat/>
    <w:rsid w:val="00FA15ED"/>
    <w:pPr>
      <w:widowControl/>
      <w:suppressAutoHyphens/>
      <w:autoSpaceDE/>
      <w:textAlignment w:val="baseline"/>
    </w:pPr>
    <w:rPr>
      <w:rFonts w:ascii="Times New Roman" w:eastAsia="Calibri" w:hAnsi="Times New Roman" w:cs="Times New Roman"/>
      <w:sz w:val="20"/>
      <w:szCs w:val="20"/>
      <w:lang w:val="es-CO" w:bidi="ar-SA"/>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qFormat/>
    <w:rsid w:val="00FA15ED"/>
    <w:rPr>
      <w:rFonts w:ascii="Times New Roman" w:eastAsia="Calibri" w:hAnsi="Times New Roman" w:cs="Times New Roman"/>
      <w:sz w:val="20"/>
      <w:szCs w:val="20"/>
      <w:lang w:eastAsia="es-ES"/>
    </w:rPr>
  </w:style>
  <w:style w:type="character" w:styleId="Refdenotaalpie">
    <w:name w:val="footnote reference"/>
    <w:aliases w:val="Texto de nota al pie,Texto nota al pie,referencia nota al pie,Ref. de nota al pie 2,Nota de pie,Appel note de bas de page,Pie de Página,FC,Texto de nota al p,Pie de Pàgina,F,Pie de P_gin,Pie de P_,Texto de nota al pi,Pie de P_g,f,4_G"/>
    <w:basedOn w:val="Fuentedeprrafopredeter"/>
    <w:link w:val="4GChar"/>
    <w:unhideWhenUsed/>
    <w:qFormat/>
    <w:rsid w:val="00FA15ED"/>
    <w:rPr>
      <w:vertAlign w:val="superscript"/>
    </w:rPr>
  </w:style>
  <w:style w:type="character" w:styleId="Hipervnculo">
    <w:name w:val="Hyperlink"/>
    <w:basedOn w:val="Fuentedeprrafopredeter"/>
    <w:uiPriority w:val="99"/>
    <w:unhideWhenUsed/>
    <w:rsid w:val="00FA15ED"/>
    <w:rPr>
      <w:color w:val="0563C1" w:themeColor="hyperlink"/>
      <w:u w:val="single"/>
    </w:rPr>
  </w:style>
  <w:style w:type="paragraph" w:styleId="Encabezado">
    <w:name w:val="header"/>
    <w:basedOn w:val="Normal"/>
    <w:link w:val="EncabezadoCar"/>
    <w:uiPriority w:val="99"/>
    <w:unhideWhenUsed/>
    <w:rsid w:val="00387233"/>
    <w:pPr>
      <w:tabs>
        <w:tab w:val="center" w:pos="4419"/>
        <w:tab w:val="right" w:pos="8838"/>
      </w:tabs>
    </w:pPr>
  </w:style>
  <w:style w:type="character" w:customStyle="1" w:styleId="EncabezadoCar">
    <w:name w:val="Encabezado Car"/>
    <w:basedOn w:val="Fuentedeprrafopredeter"/>
    <w:link w:val="Encabezado"/>
    <w:uiPriority w:val="99"/>
    <w:rsid w:val="00387233"/>
    <w:rPr>
      <w:rFonts w:ascii="Arial" w:eastAsia="Arial" w:hAnsi="Arial" w:cs="Arial"/>
      <w:lang w:val="es-ES" w:eastAsia="es-ES" w:bidi="es-ES"/>
    </w:rPr>
  </w:style>
  <w:style w:type="paragraph" w:styleId="Piedepgina">
    <w:name w:val="footer"/>
    <w:basedOn w:val="Normal"/>
    <w:link w:val="PiedepginaCar"/>
    <w:unhideWhenUsed/>
    <w:rsid w:val="00387233"/>
    <w:pPr>
      <w:tabs>
        <w:tab w:val="center" w:pos="4419"/>
        <w:tab w:val="right" w:pos="8838"/>
      </w:tabs>
    </w:pPr>
  </w:style>
  <w:style w:type="character" w:customStyle="1" w:styleId="PiedepginaCar">
    <w:name w:val="Pie de página Car"/>
    <w:basedOn w:val="Fuentedeprrafopredeter"/>
    <w:link w:val="Piedepgina"/>
    <w:uiPriority w:val="99"/>
    <w:rsid w:val="00387233"/>
    <w:rPr>
      <w:rFonts w:ascii="Arial" w:eastAsia="Arial" w:hAnsi="Arial" w:cs="Arial"/>
      <w:lang w:val="es-ES" w:eastAsia="es-ES" w:bidi="es-ES"/>
    </w:rPr>
  </w:style>
  <w:style w:type="paragraph" w:styleId="Sinespaciado">
    <w:name w:val="No Spacing"/>
    <w:aliases w:val="Oficios"/>
    <w:link w:val="SinespaciadoCar"/>
    <w:uiPriority w:val="1"/>
    <w:qFormat/>
    <w:rsid w:val="00025259"/>
    <w:pPr>
      <w:widowControl w:val="0"/>
      <w:autoSpaceDE w:val="0"/>
      <w:autoSpaceDN w:val="0"/>
      <w:spacing w:after="0" w:line="240" w:lineRule="auto"/>
    </w:pPr>
    <w:rPr>
      <w:rFonts w:ascii="Arial" w:eastAsia="Arial" w:hAnsi="Arial" w:cs="Arial"/>
      <w:lang w:val="es-ES" w:eastAsia="es-ES" w:bidi="es-ES"/>
    </w:rPr>
  </w:style>
  <w:style w:type="character" w:customStyle="1" w:styleId="SinespaciadoCar">
    <w:name w:val="Sin espaciado Car"/>
    <w:aliases w:val="Oficios Car"/>
    <w:link w:val="Sinespaciado"/>
    <w:uiPriority w:val="1"/>
    <w:rsid w:val="009D509B"/>
    <w:rPr>
      <w:rFonts w:ascii="Arial" w:eastAsia="Arial" w:hAnsi="Arial" w:cs="Arial"/>
      <w:lang w:val="es-ES" w:eastAsia="es-ES" w:bidi="es-ES"/>
    </w:rPr>
  </w:style>
  <w:style w:type="character" w:styleId="Refdecomentario">
    <w:name w:val="annotation reference"/>
    <w:basedOn w:val="Fuentedeprrafopredeter"/>
    <w:uiPriority w:val="99"/>
    <w:semiHidden/>
    <w:unhideWhenUsed/>
    <w:rsid w:val="00B113ED"/>
    <w:rPr>
      <w:sz w:val="16"/>
      <w:szCs w:val="16"/>
    </w:rPr>
  </w:style>
  <w:style w:type="paragraph" w:styleId="Textocomentario">
    <w:name w:val="annotation text"/>
    <w:basedOn w:val="Normal"/>
    <w:link w:val="TextocomentarioCar"/>
    <w:uiPriority w:val="99"/>
    <w:unhideWhenUsed/>
    <w:rsid w:val="00B113ED"/>
    <w:rPr>
      <w:sz w:val="20"/>
      <w:szCs w:val="20"/>
    </w:rPr>
  </w:style>
  <w:style w:type="character" w:customStyle="1" w:styleId="TextocomentarioCar">
    <w:name w:val="Texto comentario Car"/>
    <w:basedOn w:val="Fuentedeprrafopredeter"/>
    <w:link w:val="Textocomentario"/>
    <w:uiPriority w:val="99"/>
    <w:rsid w:val="00B113ED"/>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B113ED"/>
    <w:rPr>
      <w:b/>
      <w:bCs/>
    </w:rPr>
  </w:style>
  <w:style w:type="character" w:customStyle="1" w:styleId="AsuntodelcomentarioCar">
    <w:name w:val="Asunto del comentario Car"/>
    <w:basedOn w:val="TextocomentarioCar"/>
    <w:link w:val="Asuntodelcomentario"/>
    <w:uiPriority w:val="99"/>
    <w:semiHidden/>
    <w:rsid w:val="00B113ED"/>
    <w:rPr>
      <w:rFonts w:ascii="Arial" w:eastAsia="Arial" w:hAnsi="Arial" w:cs="Arial"/>
      <w:b/>
      <w:bCs/>
      <w:sz w:val="20"/>
      <w:szCs w:val="20"/>
      <w:lang w:val="es-ES" w:eastAsia="es-ES" w:bidi="es-ES"/>
    </w:rPr>
  </w:style>
  <w:style w:type="paragraph" w:styleId="Textodeglobo">
    <w:name w:val="Balloon Text"/>
    <w:basedOn w:val="Normal"/>
    <w:link w:val="TextodegloboCar"/>
    <w:uiPriority w:val="99"/>
    <w:semiHidden/>
    <w:unhideWhenUsed/>
    <w:rsid w:val="00B113E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13ED"/>
    <w:rPr>
      <w:rFonts w:ascii="Segoe UI" w:eastAsia="Arial" w:hAnsi="Segoe UI" w:cs="Segoe UI"/>
      <w:sz w:val="18"/>
      <w:szCs w:val="18"/>
      <w:lang w:val="es-ES" w:eastAsia="es-ES" w:bidi="es-ES"/>
    </w:rPr>
  </w:style>
  <w:style w:type="paragraph" w:customStyle="1" w:styleId="ListaCC">
    <w:name w:val="Lista CC."/>
    <w:basedOn w:val="Normal"/>
    <w:rsid w:val="00C45ABB"/>
    <w:pPr>
      <w:widowControl/>
      <w:autoSpaceDE/>
      <w:autoSpaceDN/>
    </w:pPr>
    <w:rPr>
      <w:rFonts w:ascii="Times New Roman" w:eastAsia="Times New Roman" w:hAnsi="Times New Roman" w:cs="Times New Roman"/>
      <w:sz w:val="24"/>
      <w:szCs w:val="24"/>
      <w:lang w:bidi="ar-SA"/>
    </w:rPr>
  </w:style>
  <w:style w:type="paragraph" w:customStyle="1" w:styleId="Default">
    <w:name w:val="Default"/>
    <w:rsid w:val="009D509B"/>
    <w:pPr>
      <w:autoSpaceDE w:val="0"/>
      <w:autoSpaceDN w:val="0"/>
      <w:adjustRightInd w:val="0"/>
      <w:spacing w:after="0" w:line="240" w:lineRule="auto"/>
    </w:pPr>
    <w:rPr>
      <w:rFonts w:ascii="Arial" w:eastAsia="Calibri" w:hAnsi="Arial" w:cs="Arial"/>
      <w:color w:val="000000"/>
      <w:sz w:val="24"/>
      <w:szCs w:val="24"/>
      <w:lang w:eastAsia="es-CO"/>
    </w:rPr>
  </w:style>
  <w:style w:type="table" w:styleId="Tablaconcuadrcula">
    <w:name w:val="Table Grid"/>
    <w:basedOn w:val="Tablanormal"/>
    <w:uiPriority w:val="59"/>
    <w:rsid w:val="00773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773415"/>
    <w:rPr>
      <w:color w:val="954F72" w:themeColor="followedHyperlink"/>
      <w:u w:val="single"/>
    </w:rPr>
  </w:style>
  <w:style w:type="paragraph" w:styleId="Descripcin">
    <w:name w:val="caption"/>
    <w:basedOn w:val="Normal"/>
    <w:next w:val="Normal"/>
    <w:uiPriority w:val="35"/>
    <w:unhideWhenUsed/>
    <w:qFormat/>
    <w:rsid w:val="00FB13FF"/>
    <w:pPr>
      <w:spacing w:after="200"/>
    </w:pPr>
    <w:rPr>
      <w:i/>
      <w:iCs/>
      <w:color w:val="44546A" w:themeColor="text2"/>
      <w:sz w:val="18"/>
      <w:szCs w:val="18"/>
    </w:rPr>
  </w:style>
  <w:style w:type="character" w:styleId="Textoennegrita">
    <w:name w:val="Strong"/>
    <w:basedOn w:val="Fuentedeprrafopredeter"/>
    <w:uiPriority w:val="22"/>
    <w:qFormat/>
    <w:rsid w:val="00381371"/>
    <w:rPr>
      <w:b/>
      <w:bCs/>
    </w:rPr>
  </w:style>
  <w:style w:type="paragraph" w:styleId="Revisin">
    <w:name w:val="Revision"/>
    <w:hidden/>
    <w:uiPriority w:val="99"/>
    <w:semiHidden/>
    <w:rsid w:val="00F72BC7"/>
    <w:pPr>
      <w:spacing w:after="0" w:line="240" w:lineRule="auto"/>
    </w:pPr>
    <w:rPr>
      <w:rFonts w:ascii="Arial" w:eastAsia="Arial" w:hAnsi="Arial" w:cs="Arial"/>
      <w:lang w:val="es-ES" w:eastAsia="es-ES" w:bidi="es-ES"/>
    </w:rPr>
  </w:style>
  <w:style w:type="paragraph" w:customStyle="1" w:styleId="xmsonormal">
    <w:name w:val="x_msonormal"/>
    <w:basedOn w:val="Normal"/>
    <w:uiPriority w:val="99"/>
    <w:semiHidden/>
    <w:rsid w:val="00DE661E"/>
    <w:pPr>
      <w:widowControl/>
      <w:autoSpaceDE/>
      <w:autoSpaceDN/>
    </w:pPr>
    <w:rPr>
      <w:rFonts w:ascii="Calibri" w:eastAsiaTheme="minorHAnsi" w:hAnsi="Calibri" w:cs="Calibri"/>
      <w:lang w:val="es-CO" w:eastAsia="es-CO" w:bidi="ar-SA"/>
    </w:rPr>
  </w:style>
  <w:style w:type="paragraph" w:customStyle="1" w:styleId="xmsolistparagraph">
    <w:name w:val="x_msolistparagraph"/>
    <w:basedOn w:val="Normal"/>
    <w:uiPriority w:val="99"/>
    <w:semiHidden/>
    <w:rsid w:val="00BE0F3A"/>
    <w:pPr>
      <w:widowControl/>
      <w:autoSpaceDE/>
      <w:ind w:left="720"/>
    </w:pPr>
    <w:rPr>
      <w:rFonts w:ascii="Times New Roman" w:eastAsiaTheme="minorHAnsi" w:hAnsi="Times New Roman" w:cs="Times New Roman"/>
      <w:sz w:val="24"/>
      <w:szCs w:val="24"/>
      <w:lang w:val="es-CO" w:eastAsia="es-CO" w:bidi="ar-SA"/>
    </w:rPr>
  </w:style>
  <w:style w:type="paragraph" w:customStyle="1" w:styleId="xstandard">
    <w:name w:val="x_standard"/>
    <w:basedOn w:val="Normal"/>
    <w:uiPriority w:val="99"/>
    <w:semiHidden/>
    <w:rsid w:val="00BE0F3A"/>
    <w:pPr>
      <w:widowControl/>
      <w:autoSpaceDE/>
    </w:pPr>
    <w:rPr>
      <w:rFonts w:ascii="Calibri" w:eastAsiaTheme="minorHAnsi" w:hAnsi="Calibri" w:cs="Calibri"/>
      <w:sz w:val="24"/>
      <w:szCs w:val="24"/>
      <w:lang w:val="es-CO" w:eastAsia="es-CO" w:bidi="ar-SA"/>
    </w:rPr>
  </w:style>
  <w:style w:type="character" w:customStyle="1" w:styleId="normaltextrun">
    <w:name w:val="normaltextrun"/>
    <w:basedOn w:val="Fuentedeprrafopredeter"/>
    <w:rsid w:val="00B75B22"/>
  </w:style>
  <w:style w:type="character" w:customStyle="1" w:styleId="findhit">
    <w:name w:val="findhit"/>
    <w:basedOn w:val="Fuentedeprrafopredeter"/>
    <w:rsid w:val="00B75B22"/>
  </w:style>
  <w:style w:type="character" w:customStyle="1" w:styleId="eop">
    <w:name w:val="eop"/>
    <w:basedOn w:val="Fuentedeprrafopredeter"/>
    <w:rsid w:val="00B75B22"/>
  </w:style>
  <w:style w:type="numbering" w:customStyle="1" w:styleId="Listaactual1">
    <w:name w:val="Lista actual1"/>
    <w:uiPriority w:val="99"/>
    <w:rsid w:val="00E63FD7"/>
    <w:pPr>
      <w:numPr>
        <w:numId w:val="8"/>
      </w:numPr>
    </w:pPr>
  </w:style>
  <w:style w:type="numbering" w:customStyle="1" w:styleId="Listaactual2">
    <w:name w:val="Lista actual2"/>
    <w:uiPriority w:val="99"/>
    <w:rsid w:val="00FD2702"/>
    <w:pPr>
      <w:numPr>
        <w:numId w:val="10"/>
      </w:numPr>
    </w:pPr>
  </w:style>
  <w:style w:type="paragraph" w:customStyle="1" w:styleId="paragraph">
    <w:name w:val="paragraph"/>
    <w:basedOn w:val="Normal"/>
    <w:rsid w:val="00F460AB"/>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superscript">
    <w:name w:val="superscript"/>
    <w:basedOn w:val="Fuentedeprrafopredeter"/>
    <w:rsid w:val="00F460AB"/>
  </w:style>
  <w:style w:type="table" w:customStyle="1" w:styleId="TableNormal1">
    <w:name w:val="Table Normal1"/>
    <w:uiPriority w:val="2"/>
    <w:semiHidden/>
    <w:unhideWhenUsed/>
    <w:qFormat/>
    <w:rsid w:val="00E30E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semiHidden/>
    <w:unhideWhenUsed/>
    <w:rsid w:val="001B4BDB"/>
    <w:pPr>
      <w:spacing w:after="120" w:line="480" w:lineRule="auto"/>
    </w:pPr>
  </w:style>
  <w:style w:type="character" w:customStyle="1" w:styleId="Textoindependiente2Car">
    <w:name w:val="Texto independiente 2 Car"/>
    <w:basedOn w:val="Fuentedeprrafopredeter"/>
    <w:link w:val="Textoindependiente2"/>
    <w:uiPriority w:val="99"/>
    <w:semiHidden/>
    <w:rsid w:val="001B4BDB"/>
    <w:rPr>
      <w:rFonts w:ascii="Arial" w:eastAsia="Arial" w:hAnsi="Arial" w:cs="Arial"/>
      <w:lang w:val="es-ES" w:eastAsia="es-ES" w:bidi="es-ES"/>
    </w:rPr>
  </w:style>
  <w:style w:type="character" w:styleId="Mencinsinresolver">
    <w:name w:val="Unresolved Mention"/>
    <w:basedOn w:val="Fuentedeprrafopredeter"/>
    <w:uiPriority w:val="99"/>
    <w:semiHidden/>
    <w:unhideWhenUsed/>
    <w:rsid w:val="009F6BE8"/>
    <w:rPr>
      <w:color w:val="605E5C"/>
      <w:shd w:val="clear" w:color="auto" w:fill="E1DFDD"/>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B11703"/>
    <w:pPr>
      <w:widowControl/>
      <w:autoSpaceDE/>
      <w:autoSpaceDN/>
      <w:jc w:val="both"/>
    </w:pPr>
    <w:rPr>
      <w:rFonts w:asciiTheme="minorHAnsi" w:eastAsiaTheme="minorHAnsi" w:hAnsiTheme="minorHAnsi" w:cstheme="minorBidi"/>
      <w:vertAlign w:val="superscript"/>
      <w:lang w:val="es-C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448">
      <w:bodyDiv w:val="1"/>
      <w:marLeft w:val="0"/>
      <w:marRight w:val="0"/>
      <w:marTop w:val="0"/>
      <w:marBottom w:val="0"/>
      <w:divBdr>
        <w:top w:val="none" w:sz="0" w:space="0" w:color="auto"/>
        <w:left w:val="none" w:sz="0" w:space="0" w:color="auto"/>
        <w:bottom w:val="none" w:sz="0" w:space="0" w:color="auto"/>
        <w:right w:val="none" w:sz="0" w:space="0" w:color="auto"/>
      </w:divBdr>
    </w:div>
    <w:div w:id="42170301">
      <w:bodyDiv w:val="1"/>
      <w:marLeft w:val="0"/>
      <w:marRight w:val="0"/>
      <w:marTop w:val="0"/>
      <w:marBottom w:val="0"/>
      <w:divBdr>
        <w:top w:val="none" w:sz="0" w:space="0" w:color="auto"/>
        <w:left w:val="none" w:sz="0" w:space="0" w:color="auto"/>
        <w:bottom w:val="none" w:sz="0" w:space="0" w:color="auto"/>
        <w:right w:val="none" w:sz="0" w:space="0" w:color="auto"/>
      </w:divBdr>
    </w:div>
    <w:div w:id="43529353">
      <w:bodyDiv w:val="1"/>
      <w:marLeft w:val="0"/>
      <w:marRight w:val="0"/>
      <w:marTop w:val="0"/>
      <w:marBottom w:val="0"/>
      <w:divBdr>
        <w:top w:val="none" w:sz="0" w:space="0" w:color="auto"/>
        <w:left w:val="none" w:sz="0" w:space="0" w:color="auto"/>
        <w:bottom w:val="none" w:sz="0" w:space="0" w:color="auto"/>
        <w:right w:val="none" w:sz="0" w:space="0" w:color="auto"/>
      </w:divBdr>
    </w:div>
    <w:div w:id="64650976">
      <w:bodyDiv w:val="1"/>
      <w:marLeft w:val="0"/>
      <w:marRight w:val="0"/>
      <w:marTop w:val="0"/>
      <w:marBottom w:val="0"/>
      <w:divBdr>
        <w:top w:val="none" w:sz="0" w:space="0" w:color="auto"/>
        <w:left w:val="none" w:sz="0" w:space="0" w:color="auto"/>
        <w:bottom w:val="none" w:sz="0" w:space="0" w:color="auto"/>
        <w:right w:val="none" w:sz="0" w:space="0" w:color="auto"/>
      </w:divBdr>
      <w:divsChild>
        <w:div w:id="2128158005">
          <w:marLeft w:val="0"/>
          <w:marRight w:val="0"/>
          <w:marTop w:val="0"/>
          <w:marBottom w:val="0"/>
          <w:divBdr>
            <w:top w:val="none" w:sz="0" w:space="0" w:color="auto"/>
            <w:left w:val="none" w:sz="0" w:space="0" w:color="auto"/>
            <w:bottom w:val="none" w:sz="0" w:space="0" w:color="auto"/>
            <w:right w:val="none" w:sz="0" w:space="0" w:color="auto"/>
          </w:divBdr>
        </w:div>
      </w:divsChild>
    </w:div>
    <w:div w:id="82919532">
      <w:bodyDiv w:val="1"/>
      <w:marLeft w:val="0"/>
      <w:marRight w:val="0"/>
      <w:marTop w:val="0"/>
      <w:marBottom w:val="0"/>
      <w:divBdr>
        <w:top w:val="none" w:sz="0" w:space="0" w:color="auto"/>
        <w:left w:val="none" w:sz="0" w:space="0" w:color="auto"/>
        <w:bottom w:val="none" w:sz="0" w:space="0" w:color="auto"/>
        <w:right w:val="none" w:sz="0" w:space="0" w:color="auto"/>
      </w:divBdr>
    </w:div>
    <w:div w:id="140465290">
      <w:bodyDiv w:val="1"/>
      <w:marLeft w:val="0"/>
      <w:marRight w:val="0"/>
      <w:marTop w:val="0"/>
      <w:marBottom w:val="0"/>
      <w:divBdr>
        <w:top w:val="none" w:sz="0" w:space="0" w:color="auto"/>
        <w:left w:val="none" w:sz="0" w:space="0" w:color="auto"/>
        <w:bottom w:val="none" w:sz="0" w:space="0" w:color="auto"/>
        <w:right w:val="none" w:sz="0" w:space="0" w:color="auto"/>
      </w:divBdr>
    </w:div>
    <w:div w:id="176620321">
      <w:bodyDiv w:val="1"/>
      <w:marLeft w:val="0"/>
      <w:marRight w:val="0"/>
      <w:marTop w:val="0"/>
      <w:marBottom w:val="0"/>
      <w:divBdr>
        <w:top w:val="none" w:sz="0" w:space="0" w:color="auto"/>
        <w:left w:val="none" w:sz="0" w:space="0" w:color="auto"/>
        <w:bottom w:val="none" w:sz="0" w:space="0" w:color="auto"/>
        <w:right w:val="none" w:sz="0" w:space="0" w:color="auto"/>
      </w:divBdr>
    </w:div>
    <w:div w:id="186261415">
      <w:bodyDiv w:val="1"/>
      <w:marLeft w:val="0"/>
      <w:marRight w:val="0"/>
      <w:marTop w:val="0"/>
      <w:marBottom w:val="0"/>
      <w:divBdr>
        <w:top w:val="none" w:sz="0" w:space="0" w:color="auto"/>
        <w:left w:val="none" w:sz="0" w:space="0" w:color="auto"/>
        <w:bottom w:val="none" w:sz="0" w:space="0" w:color="auto"/>
        <w:right w:val="none" w:sz="0" w:space="0" w:color="auto"/>
      </w:divBdr>
    </w:div>
    <w:div w:id="199974060">
      <w:bodyDiv w:val="1"/>
      <w:marLeft w:val="0"/>
      <w:marRight w:val="0"/>
      <w:marTop w:val="0"/>
      <w:marBottom w:val="0"/>
      <w:divBdr>
        <w:top w:val="none" w:sz="0" w:space="0" w:color="auto"/>
        <w:left w:val="none" w:sz="0" w:space="0" w:color="auto"/>
        <w:bottom w:val="none" w:sz="0" w:space="0" w:color="auto"/>
        <w:right w:val="none" w:sz="0" w:space="0" w:color="auto"/>
      </w:divBdr>
    </w:div>
    <w:div w:id="200679030">
      <w:bodyDiv w:val="1"/>
      <w:marLeft w:val="0"/>
      <w:marRight w:val="0"/>
      <w:marTop w:val="0"/>
      <w:marBottom w:val="0"/>
      <w:divBdr>
        <w:top w:val="none" w:sz="0" w:space="0" w:color="auto"/>
        <w:left w:val="none" w:sz="0" w:space="0" w:color="auto"/>
        <w:bottom w:val="none" w:sz="0" w:space="0" w:color="auto"/>
        <w:right w:val="none" w:sz="0" w:space="0" w:color="auto"/>
      </w:divBdr>
    </w:div>
    <w:div w:id="209197129">
      <w:bodyDiv w:val="1"/>
      <w:marLeft w:val="0"/>
      <w:marRight w:val="0"/>
      <w:marTop w:val="0"/>
      <w:marBottom w:val="0"/>
      <w:divBdr>
        <w:top w:val="none" w:sz="0" w:space="0" w:color="auto"/>
        <w:left w:val="none" w:sz="0" w:space="0" w:color="auto"/>
        <w:bottom w:val="none" w:sz="0" w:space="0" w:color="auto"/>
        <w:right w:val="none" w:sz="0" w:space="0" w:color="auto"/>
      </w:divBdr>
    </w:div>
    <w:div w:id="213855917">
      <w:bodyDiv w:val="1"/>
      <w:marLeft w:val="0"/>
      <w:marRight w:val="0"/>
      <w:marTop w:val="0"/>
      <w:marBottom w:val="0"/>
      <w:divBdr>
        <w:top w:val="none" w:sz="0" w:space="0" w:color="auto"/>
        <w:left w:val="none" w:sz="0" w:space="0" w:color="auto"/>
        <w:bottom w:val="none" w:sz="0" w:space="0" w:color="auto"/>
        <w:right w:val="none" w:sz="0" w:space="0" w:color="auto"/>
      </w:divBdr>
    </w:div>
    <w:div w:id="223226406">
      <w:bodyDiv w:val="1"/>
      <w:marLeft w:val="0"/>
      <w:marRight w:val="0"/>
      <w:marTop w:val="0"/>
      <w:marBottom w:val="0"/>
      <w:divBdr>
        <w:top w:val="none" w:sz="0" w:space="0" w:color="auto"/>
        <w:left w:val="none" w:sz="0" w:space="0" w:color="auto"/>
        <w:bottom w:val="none" w:sz="0" w:space="0" w:color="auto"/>
        <w:right w:val="none" w:sz="0" w:space="0" w:color="auto"/>
      </w:divBdr>
    </w:div>
    <w:div w:id="229657861">
      <w:bodyDiv w:val="1"/>
      <w:marLeft w:val="0"/>
      <w:marRight w:val="0"/>
      <w:marTop w:val="0"/>
      <w:marBottom w:val="0"/>
      <w:divBdr>
        <w:top w:val="none" w:sz="0" w:space="0" w:color="auto"/>
        <w:left w:val="none" w:sz="0" w:space="0" w:color="auto"/>
        <w:bottom w:val="none" w:sz="0" w:space="0" w:color="auto"/>
        <w:right w:val="none" w:sz="0" w:space="0" w:color="auto"/>
      </w:divBdr>
    </w:div>
    <w:div w:id="232666742">
      <w:bodyDiv w:val="1"/>
      <w:marLeft w:val="0"/>
      <w:marRight w:val="0"/>
      <w:marTop w:val="0"/>
      <w:marBottom w:val="0"/>
      <w:divBdr>
        <w:top w:val="none" w:sz="0" w:space="0" w:color="auto"/>
        <w:left w:val="none" w:sz="0" w:space="0" w:color="auto"/>
        <w:bottom w:val="none" w:sz="0" w:space="0" w:color="auto"/>
        <w:right w:val="none" w:sz="0" w:space="0" w:color="auto"/>
      </w:divBdr>
    </w:div>
    <w:div w:id="242682943">
      <w:bodyDiv w:val="1"/>
      <w:marLeft w:val="0"/>
      <w:marRight w:val="0"/>
      <w:marTop w:val="0"/>
      <w:marBottom w:val="0"/>
      <w:divBdr>
        <w:top w:val="none" w:sz="0" w:space="0" w:color="auto"/>
        <w:left w:val="none" w:sz="0" w:space="0" w:color="auto"/>
        <w:bottom w:val="none" w:sz="0" w:space="0" w:color="auto"/>
        <w:right w:val="none" w:sz="0" w:space="0" w:color="auto"/>
      </w:divBdr>
    </w:div>
    <w:div w:id="266547503">
      <w:bodyDiv w:val="1"/>
      <w:marLeft w:val="0"/>
      <w:marRight w:val="0"/>
      <w:marTop w:val="0"/>
      <w:marBottom w:val="0"/>
      <w:divBdr>
        <w:top w:val="none" w:sz="0" w:space="0" w:color="auto"/>
        <w:left w:val="none" w:sz="0" w:space="0" w:color="auto"/>
        <w:bottom w:val="none" w:sz="0" w:space="0" w:color="auto"/>
        <w:right w:val="none" w:sz="0" w:space="0" w:color="auto"/>
      </w:divBdr>
    </w:div>
    <w:div w:id="413746685">
      <w:bodyDiv w:val="1"/>
      <w:marLeft w:val="0"/>
      <w:marRight w:val="0"/>
      <w:marTop w:val="0"/>
      <w:marBottom w:val="0"/>
      <w:divBdr>
        <w:top w:val="none" w:sz="0" w:space="0" w:color="auto"/>
        <w:left w:val="none" w:sz="0" w:space="0" w:color="auto"/>
        <w:bottom w:val="none" w:sz="0" w:space="0" w:color="auto"/>
        <w:right w:val="none" w:sz="0" w:space="0" w:color="auto"/>
      </w:divBdr>
    </w:div>
    <w:div w:id="425276293">
      <w:bodyDiv w:val="1"/>
      <w:marLeft w:val="0"/>
      <w:marRight w:val="0"/>
      <w:marTop w:val="0"/>
      <w:marBottom w:val="0"/>
      <w:divBdr>
        <w:top w:val="none" w:sz="0" w:space="0" w:color="auto"/>
        <w:left w:val="none" w:sz="0" w:space="0" w:color="auto"/>
        <w:bottom w:val="none" w:sz="0" w:space="0" w:color="auto"/>
        <w:right w:val="none" w:sz="0" w:space="0" w:color="auto"/>
      </w:divBdr>
    </w:div>
    <w:div w:id="475685258">
      <w:bodyDiv w:val="1"/>
      <w:marLeft w:val="0"/>
      <w:marRight w:val="0"/>
      <w:marTop w:val="0"/>
      <w:marBottom w:val="0"/>
      <w:divBdr>
        <w:top w:val="none" w:sz="0" w:space="0" w:color="auto"/>
        <w:left w:val="none" w:sz="0" w:space="0" w:color="auto"/>
        <w:bottom w:val="none" w:sz="0" w:space="0" w:color="auto"/>
        <w:right w:val="none" w:sz="0" w:space="0" w:color="auto"/>
      </w:divBdr>
    </w:div>
    <w:div w:id="478965865">
      <w:bodyDiv w:val="1"/>
      <w:marLeft w:val="0"/>
      <w:marRight w:val="0"/>
      <w:marTop w:val="0"/>
      <w:marBottom w:val="0"/>
      <w:divBdr>
        <w:top w:val="none" w:sz="0" w:space="0" w:color="auto"/>
        <w:left w:val="none" w:sz="0" w:space="0" w:color="auto"/>
        <w:bottom w:val="none" w:sz="0" w:space="0" w:color="auto"/>
        <w:right w:val="none" w:sz="0" w:space="0" w:color="auto"/>
      </w:divBdr>
    </w:div>
    <w:div w:id="484467670">
      <w:bodyDiv w:val="1"/>
      <w:marLeft w:val="0"/>
      <w:marRight w:val="0"/>
      <w:marTop w:val="0"/>
      <w:marBottom w:val="0"/>
      <w:divBdr>
        <w:top w:val="none" w:sz="0" w:space="0" w:color="auto"/>
        <w:left w:val="none" w:sz="0" w:space="0" w:color="auto"/>
        <w:bottom w:val="none" w:sz="0" w:space="0" w:color="auto"/>
        <w:right w:val="none" w:sz="0" w:space="0" w:color="auto"/>
      </w:divBdr>
    </w:div>
    <w:div w:id="545990445">
      <w:bodyDiv w:val="1"/>
      <w:marLeft w:val="0"/>
      <w:marRight w:val="0"/>
      <w:marTop w:val="0"/>
      <w:marBottom w:val="0"/>
      <w:divBdr>
        <w:top w:val="none" w:sz="0" w:space="0" w:color="auto"/>
        <w:left w:val="none" w:sz="0" w:space="0" w:color="auto"/>
        <w:bottom w:val="none" w:sz="0" w:space="0" w:color="auto"/>
        <w:right w:val="none" w:sz="0" w:space="0" w:color="auto"/>
      </w:divBdr>
    </w:div>
    <w:div w:id="572006546">
      <w:bodyDiv w:val="1"/>
      <w:marLeft w:val="0"/>
      <w:marRight w:val="0"/>
      <w:marTop w:val="0"/>
      <w:marBottom w:val="0"/>
      <w:divBdr>
        <w:top w:val="none" w:sz="0" w:space="0" w:color="auto"/>
        <w:left w:val="none" w:sz="0" w:space="0" w:color="auto"/>
        <w:bottom w:val="none" w:sz="0" w:space="0" w:color="auto"/>
        <w:right w:val="none" w:sz="0" w:space="0" w:color="auto"/>
      </w:divBdr>
    </w:div>
    <w:div w:id="577010851">
      <w:bodyDiv w:val="1"/>
      <w:marLeft w:val="0"/>
      <w:marRight w:val="0"/>
      <w:marTop w:val="0"/>
      <w:marBottom w:val="0"/>
      <w:divBdr>
        <w:top w:val="none" w:sz="0" w:space="0" w:color="auto"/>
        <w:left w:val="none" w:sz="0" w:space="0" w:color="auto"/>
        <w:bottom w:val="none" w:sz="0" w:space="0" w:color="auto"/>
        <w:right w:val="none" w:sz="0" w:space="0" w:color="auto"/>
      </w:divBdr>
    </w:div>
    <w:div w:id="579292698">
      <w:bodyDiv w:val="1"/>
      <w:marLeft w:val="0"/>
      <w:marRight w:val="0"/>
      <w:marTop w:val="0"/>
      <w:marBottom w:val="0"/>
      <w:divBdr>
        <w:top w:val="none" w:sz="0" w:space="0" w:color="auto"/>
        <w:left w:val="none" w:sz="0" w:space="0" w:color="auto"/>
        <w:bottom w:val="none" w:sz="0" w:space="0" w:color="auto"/>
        <w:right w:val="none" w:sz="0" w:space="0" w:color="auto"/>
      </w:divBdr>
    </w:div>
    <w:div w:id="580529279">
      <w:bodyDiv w:val="1"/>
      <w:marLeft w:val="0"/>
      <w:marRight w:val="0"/>
      <w:marTop w:val="0"/>
      <w:marBottom w:val="0"/>
      <w:divBdr>
        <w:top w:val="none" w:sz="0" w:space="0" w:color="auto"/>
        <w:left w:val="none" w:sz="0" w:space="0" w:color="auto"/>
        <w:bottom w:val="none" w:sz="0" w:space="0" w:color="auto"/>
        <w:right w:val="none" w:sz="0" w:space="0" w:color="auto"/>
      </w:divBdr>
    </w:div>
    <w:div w:id="581254622">
      <w:bodyDiv w:val="1"/>
      <w:marLeft w:val="0"/>
      <w:marRight w:val="0"/>
      <w:marTop w:val="0"/>
      <w:marBottom w:val="0"/>
      <w:divBdr>
        <w:top w:val="none" w:sz="0" w:space="0" w:color="auto"/>
        <w:left w:val="none" w:sz="0" w:space="0" w:color="auto"/>
        <w:bottom w:val="none" w:sz="0" w:space="0" w:color="auto"/>
        <w:right w:val="none" w:sz="0" w:space="0" w:color="auto"/>
      </w:divBdr>
    </w:div>
    <w:div w:id="603810984">
      <w:bodyDiv w:val="1"/>
      <w:marLeft w:val="0"/>
      <w:marRight w:val="0"/>
      <w:marTop w:val="0"/>
      <w:marBottom w:val="0"/>
      <w:divBdr>
        <w:top w:val="none" w:sz="0" w:space="0" w:color="auto"/>
        <w:left w:val="none" w:sz="0" w:space="0" w:color="auto"/>
        <w:bottom w:val="none" w:sz="0" w:space="0" w:color="auto"/>
        <w:right w:val="none" w:sz="0" w:space="0" w:color="auto"/>
      </w:divBdr>
    </w:div>
    <w:div w:id="619649484">
      <w:bodyDiv w:val="1"/>
      <w:marLeft w:val="0"/>
      <w:marRight w:val="0"/>
      <w:marTop w:val="0"/>
      <w:marBottom w:val="0"/>
      <w:divBdr>
        <w:top w:val="none" w:sz="0" w:space="0" w:color="auto"/>
        <w:left w:val="none" w:sz="0" w:space="0" w:color="auto"/>
        <w:bottom w:val="none" w:sz="0" w:space="0" w:color="auto"/>
        <w:right w:val="none" w:sz="0" w:space="0" w:color="auto"/>
      </w:divBdr>
    </w:div>
    <w:div w:id="629215227">
      <w:bodyDiv w:val="1"/>
      <w:marLeft w:val="0"/>
      <w:marRight w:val="0"/>
      <w:marTop w:val="0"/>
      <w:marBottom w:val="0"/>
      <w:divBdr>
        <w:top w:val="none" w:sz="0" w:space="0" w:color="auto"/>
        <w:left w:val="none" w:sz="0" w:space="0" w:color="auto"/>
        <w:bottom w:val="none" w:sz="0" w:space="0" w:color="auto"/>
        <w:right w:val="none" w:sz="0" w:space="0" w:color="auto"/>
      </w:divBdr>
    </w:div>
    <w:div w:id="640960904">
      <w:bodyDiv w:val="1"/>
      <w:marLeft w:val="0"/>
      <w:marRight w:val="0"/>
      <w:marTop w:val="0"/>
      <w:marBottom w:val="0"/>
      <w:divBdr>
        <w:top w:val="none" w:sz="0" w:space="0" w:color="auto"/>
        <w:left w:val="none" w:sz="0" w:space="0" w:color="auto"/>
        <w:bottom w:val="none" w:sz="0" w:space="0" w:color="auto"/>
        <w:right w:val="none" w:sz="0" w:space="0" w:color="auto"/>
      </w:divBdr>
    </w:div>
    <w:div w:id="691078540">
      <w:bodyDiv w:val="1"/>
      <w:marLeft w:val="0"/>
      <w:marRight w:val="0"/>
      <w:marTop w:val="0"/>
      <w:marBottom w:val="0"/>
      <w:divBdr>
        <w:top w:val="none" w:sz="0" w:space="0" w:color="auto"/>
        <w:left w:val="none" w:sz="0" w:space="0" w:color="auto"/>
        <w:bottom w:val="none" w:sz="0" w:space="0" w:color="auto"/>
        <w:right w:val="none" w:sz="0" w:space="0" w:color="auto"/>
      </w:divBdr>
    </w:div>
    <w:div w:id="707070086">
      <w:bodyDiv w:val="1"/>
      <w:marLeft w:val="0"/>
      <w:marRight w:val="0"/>
      <w:marTop w:val="0"/>
      <w:marBottom w:val="0"/>
      <w:divBdr>
        <w:top w:val="none" w:sz="0" w:space="0" w:color="auto"/>
        <w:left w:val="none" w:sz="0" w:space="0" w:color="auto"/>
        <w:bottom w:val="none" w:sz="0" w:space="0" w:color="auto"/>
        <w:right w:val="none" w:sz="0" w:space="0" w:color="auto"/>
      </w:divBdr>
    </w:div>
    <w:div w:id="713237695">
      <w:bodyDiv w:val="1"/>
      <w:marLeft w:val="0"/>
      <w:marRight w:val="0"/>
      <w:marTop w:val="0"/>
      <w:marBottom w:val="0"/>
      <w:divBdr>
        <w:top w:val="none" w:sz="0" w:space="0" w:color="auto"/>
        <w:left w:val="none" w:sz="0" w:space="0" w:color="auto"/>
        <w:bottom w:val="none" w:sz="0" w:space="0" w:color="auto"/>
        <w:right w:val="none" w:sz="0" w:space="0" w:color="auto"/>
      </w:divBdr>
    </w:div>
    <w:div w:id="719935302">
      <w:bodyDiv w:val="1"/>
      <w:marLeft w:val="0"/>
      <w:marRight w:val="0"/>
      <w:marTop w:val="0"/>
      <w:marBottom w:val="0"/>
      <w:divBdr>
        <w:top w:val="none" w:sz="0" w:space="0" w:color="auto"/>
        <w:left w:val="none" w:sz="0" w:space="0" w:color="auto"/>
        <w:bottom w:val="none" w:sz="0" w:space="0" w:color="auto"/>
        <w:right w:val="none" w:sz="0" w:space="0" w:color="auto"/>
      </w:divBdr>
    </w:div>
    <w:div w:id="720710050">
      <w:bodyDiv w:val="1"/>
      <w:marLeft w:val="0"/>
      <w:marRight w:val="0"/>
      <w:marTop w:val="0"/>
      <w:marBottom w:val="0"/>
      <w:divBdr>
        <w:top w:val="none" w:sz="0" w:space="0" w:color="auto"/>
        <w:left w:val="none" w:sz="0" w:space="0" w:color="auto"/>
        <w:bottom w:val="none" w:sz="0" w:space="0" w:color="auto"/>
        <w:right w:val="none" w:sz="0" w:space="0" w:color="auto"/>
      </w:divBdr>
    </w:div>
    <w:div w:id="767122169">
      <w:bodyDiv w:val="1"/>
      <w:marLeft w:val="0"/>
      <w:marRight w:val="0"/>
      <w:marTop w:val="0"/>
      <w:marBottom w:val="0"/>
      <w:divBdr>
        <w:top w:val="none" w:sz="0" w:space="0" w:color="auto"/>
        <w:left w:val="none" w:sz="0" w:space="0" w:color="auto"/>
        <w:bottom w:val="none" w:sz="0" w:space="0" w:color="auto"/>
        <w:right w:val="none" w:sz="0" w:space="0" w:color="auto"/>
      </w:divBdr>
    </w:div>
    <w:div w:id="771703819">
      <w:bodyDiv w:val="1"/>
      <w:marLeft w:val="0"/>
      <w:marRight w:val="0"/>
      <w:marTop w:val="0"/>
      <w:marBottom w:val="0"/>
      <w:divBdr>
        <w:top w:val="none" w:sz="0" w:space="0" w:color="auto"/>
        <w:left w:val="none" w:sz="0" w:space="0" w:color="auto"/>
        <w:bottom w:val="none" w:sz="0" w:space="0" w:color="auto"/>
        <w:right w:val="none" w:sz="0" w:space="0" w:color="auto"/>
      </w:divBdr>
    </w:div>
    <w:div w:id="779568897">
      <w:bodyDiv w:val="1"/>
      <w:marLeft w:val="0"/>
      <w:marRight w:val="0"/>
      <w:marTop w:val="0"/>
      <w:marBottom w:val="0"/>
      <w:divBdr>
        <w:top w:val="none" w:sz="0" w:space="0" w:color="auto"/>
        <w:left w:val="none" w:sz="0" w:space="0" w:color="auto"/>
        <w:bottom w:val="none" w:sz="0" w:space="0" w:color="auto"/>
        <w:right w:val="none" w:sz="0" w:space="0" w:color="auto"/>
      </w:divBdr>
    </w:div>
    <w:div w:id="788209987">
      <w:bodyDiv w:val="1"/>
      <w:marLeft w:val="0"/>
      <w:marRight w:val="0"/>
      <w:marTop w:val="0"/>
      <w:marBottom w:val="0"/>
      <w:divBdr>
        <w:top w:val="none" w:sz="0" w:space="0" w:color="auto"/>
        <w:left w:val="none" w:sz="0" w:space="0" w:color="auto"/>
        <w:bottom w:val="none" w:sz="0" w:space="0" w:color="auto"/>
        <w:right w:val="none" w:sz="0" w:space="0" w:color="auto"/>
      </w:divBdr>
    </w:div>
    <w:div w:id="862550645">
      <w:bodyDiv w:val="1"/>
      <w:marLeft w:val="0"/>
      <w:marRight w:val="0"/>
      <w:marTop w:val="0"/>
      <w:marBottom w:val="0"/>
      <w:divBdr>
        <w:top w:val="none" w:sz="0" w:space="0" w:color="auto"/>
        <w:left w:val="none" w:sz="0" w:space="0" w:color="auto"/>
        <w:bottom w:val="none" w:sz="0" w:space="0" w:color="auto"/>
        <w:right w:val="none" w:sz="0" w:space="0" w:color="auto"/>
      </w:divBdr>
    </w:div>
    <w:div w:id="870801441">
      <w:bodyDiv w:val="1"/>
      <w:marLeft w:val="0"/>
      <w:marRight w:val="0"/>
      <w:marTop w:val="0"/>
      <w:marBottom w:val="0"/>
      <w:divBdr>
        <w:top w:val="none" w:sz="0" w:space="0" w:color="auto"/>
        <w:left w:val="none" w:sz="0" w:space="0" w:color="auto"/>
        <w:bottom w:val="none" w:sz="0" w:space="0" w:color="auto"/>
        <w:right w:val="none" w:sz="0" w:space="0" w:color="auto"/>
      </w:divBdr>
    </w:div>
    <w:div w:id="874385105">
      <w:bodyDiv w:val="1"/>
      <w:marLeft w:val="0"/>
      <w:marRight w:val="0"/>
      <w:marTop w:val="0"/>
      <w:marBottom w:val="0"/>
      <w:divBdr>
        <w:top w:val="none" w:sz="0" w:space="0" w:color="auto"/>
        <w:left w:val="none" w:sz="0" w:space="0" w:color="auto"/>
        <w:bottom w:val="none" w:sz="0" w:space="0" w:color="auto"/>
        <w:right w:val="none" w:sz="0" w:space="0" w:color="auto"/>
      </w:divBdr>
    </w:div>
    <w:div w:id="888032783">
      <w:bodyDiv w:val="1"/>
      <w:marLeft w:val="0"/>
      <w:marRight w:val="0"/>
      <w:marTop w:val="0"/>
      <w:marBottom w:val="0"/>
      <w:divBdr>
        <w:top w:val="none" w:sz="0" w:space="0" w:color="auto"/>
        <w:left w:val="none" w:sz="0" w:space="0" w:color="auto"/>
        <w:bottom w:val="none" w:sz="0" w:space="0" w:color="auto"/>
        <w:right w:val="none" w:sz="0" w:space="0" w:color="auto"/>
      </w:divBdr>
    </w:div>
    <w:div w:id="957837217">
      <w:bodyDiv w:val="1"/>
      <w:marLeft w:val="0"/>
      <w:marRight w:val="0"/>
      <w:marTop w:val="0"/>
      <w:marBottom w:val="0"/>
      <w:divBdr>
        <w:top w:val="none" w:sz="0" w:space="0" w:color="auto"/>
        <w:left w:val="none" w:sz="0" w:space="0" w:color="auto"/>
        <w:bottom w:val="none" w:sz="0" w:space="0" w:color="auto"/>
        <w:right w:val="none" w:sz="0" w:space="0" w:color="auto"/>
      </w:divBdr>
    </w:div>
    <w:div w:id="964429118">
      <w:bodyDiv w:val="1"/>
      <w:marLeft w:val="0"/>
      <w:marRight w:val="0"/>
      <w:marTop w:val="0"/>
      <w:marBottom w:val="0"/>
      <w:divBdr>
        <w:top w:val="none" w:sz="0" w:space="0" w:color="auto"/>
        <w:left w:val="none" w:sz="0" w:space="0" w:color="auto"/>
        <w:bottom w:val="none" w:sz="0" w:space="0" w:color="auto"/>
        <w:right w:val="none" w:sz="0" w:space="0" w:color="auto"/>
      </w:divBdr>
    </w:div>
    <w:div w:id="969633823">
      <w:bodyDiv w:val="1"/>
      <w:marLeft w:val="0"/>
      <w:marRight w:val="0"/>
      <w:marTop w:val="0"/>
      <w:marBottom w:val="0"/>
      <w:divBdr>
        <w:top w:val="none" w:sz="0" w:space="0" w:color="auto"/>
        <w:left w:val="none" w:sz="0" w:space="0" w:color="auto"/>
        <w:bottom w:val="none" w:sz="0" w:space="0" w:color="auto"/>
        <w:right w:val="none" w:sz="0" w:space="0" w:color="auto"/>
      </w:divBdr>
    </w:div>
    <w:div w:id="994719796">
      <w:bodyDiv w:val="1"/>
      <w:marLeft w:val="0"/>
      <w:marRight w:val="0"/>
      <w:marTop w:val="0"/>
      <w:marBottom w:val="0"/>
      <w:divBdr>
        <w:top w:val="none" w:sz="0" w:space="0" w:color="auto"/>
        <w:left w:val="none" w:sz="0" w:space="0" w:color="auto"/>
        <w:bottom w:val="none" w:sz="0" w:space="0" w:color="auto"/>
        <w:right w:val="none" w:sz="0" w:space="0" w:color="auto"/>
      </w:divBdr>
    </w:div>
    <w:div w:id="1022702579">
      <w:bodyDiv w:val="1"/>
      <w:marLeft w:val="0"/>
      <w:marRight w:val="0"/>
      <w:marTop w:val="0"/>
      <w:marBottom w:val="0"/>
      <w:divBdr>
        <w:top w:val="none" w:sz="0" w:space="0" w:color="auto"/>
        <w:left w:val="none" w:sz="0" w:space="0" w:color="auto"/>
        <w:bottom w:val="none" w:sz="0" w:space="0" w:color="auto"/>
        <w:right w:val="none" w:sz="0" w:space="0" w:color="auto"/>
      </w:divBdr>
    </w:div>
    <w:div w:id="1040007610">
      <w:bodyDiv w:val="1"/>
      <w:marLeft w:val="0"/>
      <w:marRight w:val="0"/>
      <w:marTop w:val="0"/>
      <w:marBottom w:val="0"/>
      <w:divBdr>
        <w:top w:val="none" w:sz="0" w:space="0" w:color="auto"/>
        <w:left w:val="none" w:sz="0" w:space="0" w:color="auto"/>
        <w:bottom w:val="none" w:sz="0" w:space="0" w:color="auto"/>
        <w:right w:val="none" w:sz="0" w:space="0" w:color="auto"/>
      </w:divBdr>
    </w:div>
    <w:div w:id="1137407971">
      <w:bodyDiv w:val="1"/>
      <w:marLeft w:val="0"/>
      <w:marRight w:val="0"/>
      <w:marTop w:val="0"/>
      <w:marBottom w:val="0"/>
      <w:divBdr>
        <w:top w:val="none" w:sz="0" w:space="0" w:color="auto"/>
        <w:left w:val="none" w:sz="0" w:space="0" w:color="auto"/>
        <w:bottom w:val="none" w:sz="0" w:space="0" w:color="auto"/>
        <w:right w:val="none" w:sz="0" w:space="0" w:color="auto"/>
      </w:divBdr>
    </w:div>
    <w:div w:id="1167405238">
      <w:bodyDiv w:val="1"/>
      <w:marLeft w:val="0"/>
      <w:marRight w:val="0"/>
      <w:marTop w:val="0"/>
      <w:marBottom w:val="0"/>
      <w:divBdr>
        <w:top w:val="none" w:sz="0" w:space="0" w:color="auto"/>
        <w:left w:val="none" w:sz="0" w:space="0" w:color="auto"/>
        <w:bottom w:val="none" w:sz="0" w:space="0" w:color="auto"/>
        <w:right w:val="none" w:sz="0" w:space="0" w:color="auto"/>
      </w:divBdr>
      <w:divsChild>
        <w:div w:id="1920094923">
          <w:marLeft w:val="0"/>
          <w:marRight w:val="0"/>
          <w:marTop w:val="0"/>
          <w:marBottom w:val="0"/>
          <w:divBdr>
            <w:top w:val="none" w:sz="0" w:space="0" w:color="auto"/>
            <w:left w:val="none" w:sz="0" w:space="0" w:color="auto"/>
            <w:bottom w:val="none" w:sz="0" w:space="0" w:color="auto"/>
            <w:right w:val="none" w:sz="0" w:space="0" w:color="auto"/>
          </w:divBdr>
        </w:div>
      </w:divsChild>
    </w:div>
    <w:div w:id="1167868103">
      <w:bodyDiv w:val="1"/>
      <w:marLeft w:val="0"/>
      <w:marRight w:val="0"/>
      <w:marTop w:val="0"/>
      <w:marBottom w:val="0"/>
      <w:divBdr>
        <w:top w:val="none" w:sz="0" w:space="0" w:color="auto"/>
        <w:left w:val="none" w:sz="0" w:space="0" w:color="auto"/>
        <w:bottom w:val="none" w:sz="0" w:space="0" w:color="auto"/>
        <w:right w:val="none" w:sz="0" w:space="0" w:color="auto"/>
      </w:divBdr>
    </w:div>
    <w:div w:id="1168254243">
      <w:bodyDiv w:val="1"/>
      <w:marLeft w:val="0"/>
      <w:marRight w:val="0"/>
      <w:marTop w:val="0"/>
      <w:marBottom w:val="0"/>
      <w:divBdr>
        <w:top w:val="none" w:sz="0" w:space="0" w:color="auto"/>
        <w:left w:val="none" w:sz="0" w:space="0" w:color="auto"/>
        <w:bottom w:val="none" w:sz="0" w:space="0" w:color="auto"/>
        <w:right w:val="none" w:sz="0" w:space="0" w:color="auto"/>
      </w:divBdr>
    </w:div>
    <w:div w:id="1201285249">
      <w:bodyDiv w:val="1"/>
      <w:marLeft w:val="0"/>
      <w:marRight w:val="0"/>
      <w:marTop w:val="0"/>
      <w:marBottom w:val="0"/>
      <w:divBdr>
        <w:top w:val="none" w:sz="0" w:space="0" w:color="auto"/>
        <w:left w:val="none" w:sz="0" w:space="0" w:color="auto"/>
        <w:bottom w:val="none" w:sz="0" w:space="0" w:color="auto"/>
        <w:right w:val="none" w:sz="0" w:space="0" w:color="auto"/>
      </w:divBdr>
    </w:div>
    <w:div w:id="1264873399">
      <w:bodyDiv w:val="1"/>
      <w:marLeft w:val="0"/>
      <w:marRight w:val="0"/>
      <w:marTop w:val="0"/>
      <w:marBottom w:val="0"/>
      <w:divBdr>
        <w:top w:val="none" w:sz="0" w:space="0" w:color="auto"/>
        <w:left w:val="none" w:sz="0" w:space="0" w:color="auto"/>
        <w:bottom w:val="none" w:sz="0" w:space="0" w:color="auto"/>
        <w:right w:val="none" w:sz="0" w:space="0" w:color="auto"/>
      </w:divBdr>
    </w:div>
    <w:div w:id="1281960528">
      <w:bodyDiv w:val="1"/>
      <w:marLeft w:val="0"/>
      <w:marRight w:val="0"/>
      <w:marTop w:val="0"/>
      <w:marBottom w:val="0"/>
      <w:divBdr>
        <w:top w:val="none" w:sz="0" w:space="0" w:color="auto"/>
        <w:left w:val="none" w:sz="0" w:space="0" w:color="auto"/>
        <w:bottom w:val="none" w:sz="0" w:space="0" w:color="auto"/>
        <w:right w:val="none" w:sz="0" w:space="0" w:color="auto"/>
      </w:divBdr>
    </w:div>
    <w:div w:id="1282880648">
      <w:bodyDiv w:val="1"/>
      <w:marLeft w:val="0"/>
      <w:marRight w:val="0"/>
      <w:marTop w:val="0"/>
      <w:marBottom w:val="0"/>
      <w:divBdr>
        <w:top w:val="none" w:sz="0" w:space="0" w:color="auto"/>
        <w:left w:val="none" w:sz="0" w:space="0" w:color="auto"/>
        <w:bottom w:val="none" w:sz="0" w:space="0" w:color="auto"/>
        <w:right w:val="none" w:sz="0" w:space="0" w:color="auto"/>
      </w:divBdr>
    </w:div>
    <w:div w:id="1302808210">
      <w:bodyDiv w:val="1"/>
      <w:marLeft w:val="0"/>
      <w:marRight w:val="0"/>
      <w:marTop w:val="0"/>
      <w:marBottom w:val="0"/>
      <w:divBdr>
        <w:top w:val="none" w:sz="0" w:space="0" w:color="auto"/>
        <w:left w:val="none" w:sz="0" w:space="0" w:color="auto"/>
        <w:bottom w:val="none" w:sz="0" w:space="0" w:color="auto"/>
        <w:right w:val="none" w:sz="0" w:space="0" w:color="auto"/>
      </w:divBdr>
    </w:div>
    <w:div w:id="1304236033">
      <w:bodyDiv w:val="1"/>
      <w:marLeft w:val="0"/>
      <w:marRight w:val="0"/>
      <w:marTop w:val="0"/>
      <w:marBottom w:val="0"/>
      <w:divBdr>
        <w:top w:val="none" w:sz="0" w:space="0" w:color="auto"/>
        <w:left w:val="none" w:sz="0" w:space="0" w:color="auto"/>
        <w:bottom w:val="none" w:sz="0" w:space="0" w:color="auto"/>
        <w:right w:val="none" w:sz="0" w:space="0" w:color="auto"/>
      </w:divBdr>
    </w:div>
    <w:div w:id="1337227152">
      <w:bodyDiv w:val="1"/>
      <w:marLeft w:val="0"/>
      <w:marRight w:val="0"/>
      <w:marTop w:val="0"/>
      <w:marBottom w:val="0"/>
      <w:divBdr>
        <w:top w:val="none" w:sz="0" w:space="0" w:color="auto"/>
        <w:left w:val="none" w:sz="0" w:space="0" w:color="auto"/>
        <w:bottom w:val="none" w:sz="0" w:space="0" w:color="auto"/>
        <w:right w:val="none" w:sz="0" w:space="0" w:color="auto"/>
      </w:divBdr>
    </w:div>
    <w:div w:id="1340692230">
      <w:bodyDiv w:val="1"/>
      <w:marLeft w:val="0"/>
      <w:marRight w:val="0"/>
      <w:marTop w:val="0"/>
      <w:marBottom w:val="0"/>
      <w:divBdr>
        <w:top w:val="none" w:sz="0" w:space="0" w:color="auto"/>
        <w:left w:val="none" w:sz="0" w:space="0" w:color="auto"/>
        <w:bottom w:val="none" w:sz="0" w:space="0" w:color="auto"/>
        <w:right w:val="none" w:sz="0" w:space="0" w:color="auto"/>
      </w:divBdr>
    </w:div>
    <w:div w:id="1356543496">
      <w:bodyDiv w:val="1"/>
      <w:marLeft w:val="0"/>
      <w:marRight w:val="0"/>
      <w:marTop w:val="0"/>
      <w:marBottom w:val="0"/>
      <w:divBdr>
        <w:top w:val="none" w:sz="0" w:space="0" w:color="auto"/>
        <w:left w:val="none" w:sz="0" w:space="0" w:color="auto"/>
        <w:bottom w:val="none" w:sz="0" w:space="0" w:color="auto"/>
        <w:right w:val="none" w:sz="0" w:space="0" w:color="auto"/>
      </w:divBdr>
    </w:div>
    <w:div w:id="1392339731">
      <w:bodyDiv w:val="1"/>
      <w:marLeft w:val="0"/>
      <w:marRight w:val="0"/>
      <w:marTop w:val="0"/>
      <w:marBottom w:val="0"/>
      <w:divBdr>
        <w:top w:val="none" w:sz="0" w:space="0" w:color="auto"/>
        <w:left w:val="none" w:sz="0" w:space="0" w:color="auto"/>
        <w:bottom w:val="none" w:sz="0" w:space="0" w:color="auto"/>
        <w:right w:val="none" w:sz="0" w:space="0" w:color="auto"/>
      </w:divBdr>
    </w:div>
    <w:div w:id="1508519798">
      <w:bodyDiv w:val="1"/>
      <w:marLeft w:val="0"/>
      <w:marRight w:val="0"/>
      <w:marTop w:val="0"/>
      <w:marBottom w:val="0"/>
      <w:divBdr>
        <w:top w:val="none" w:sz="0" w:space="0" w:color="auto"/>
        <w:left w:val="none" w:sz="0" w:space="0" w:color="auto"/>
        <w:bottom w:val="none" w:sz="0" w:space="0" w:color="auto"/>
        <w:right w:val="none" w:sz="0" w:space="0" w:color="auto"/>
      </w:divBdr>
    </w:div>
    <w:div w:id="1517116373">
      <w:bodyDiv w:val="1"/>
      <w:marLeft w:val="0"/>
      <w:marRight w:val="0"/>
      <w:marTop w:val="0"/>
      <w:marBottom w:val="0"/>
      <w:divBdr>
        <w:top w:val="none" w:sz="0" w:space="0" w:color="auto"/>
        <w:left w:val="none" w:sz="0" w:space="0" w:color="auto"/>
        <w:bottom w:val="none" w:sz="0" w:space="0" w:color="auto"/>
        <w:right w:val="none" w:sz="0" w:space="0" w:color="auto"/>
      </w:divBdr>
    </w:div>
    <w:div w:id="1539392483">
      <w:bodyDiv w:val="1"/>
      <w:marLeft w:val="0"/>
      <w:marRight w:val="0"/>
      <w:marTop w:val="0"/>
      <w:marBottom w:val="0"/>
      <w:divBdr>
        <w:top w:val="none" w:sz="0" w:space="0" w:color="auto"/>
        <w:left w:val="none" w:sz="0" w:space="0" w:color="auto"/>
        <w:bottom w:val="none" w:sz="0" w:space="0" w:color="auto"/>
        <w:right w:val="none" w:sz="0" w:space="0" w:color="auto"/>
      </w:divBdr>
    </w:div>
    <w:div w:id="1553232942">
      <w:bodyDiv w:val="1"/>
      <w:marLeft w:val="0"/>
      <w:marRight w:val="0"/>
      <w:marTop w:val="0"/>
      <w:marBottom w:val="0"/>
      <w:divBdr>
        <w:top w:val="none" w:sz="0" w:space="0" w:color="auto"/>
        <w:left w:val="none" w:sz="0" w:space="0" w:color="auto"/>
        <w:bottom w:val="none" w:sz="0" w:space="0" w:color="auto"/>
        <w:right w:val="none" w:sz="0" w:space="0" w:color="auto"/>
      </w:divBdr>
    </w:div>
    <w:div w:id="1553539274">
      <w:bodyDiv w:val="1"/>
      <w:marLeft w:val="0"/>
      <w:marRight w:val="0"/>
      <w:marTop w:val="0"/>
      <w:marBottom w:val="0"/>
      <w:divBdr>
        <w:top w:val="none" w:sz="0" w:space="0" w:color="auto"/>
        <w:left w:val="none" w:sz="0" w:space="0" w:color="auto"/>
        <w:bottom w:val="none" w:sz="0" w:space="0" w:color="auto"/>
        <w:right w:val="none" w:sz="0" w:space="0" w:color="auto"/>
      </w:divBdr>
    </w:div>
    <w:div w:id="1561407458">
      <w:bodyDiv w:val="1"/>
      <w:marLeft w:val="0"/>
      <w:marRight w:val="0"/>
      <w:marTop w:val="0"/>
      <w:marBottom w:val="0"/>
      <w:divBdr>
        <w:top w:val="none" w:sz="0" w:space="0" w:color="auto"/>
        <w:left w:val="none" w:sz="0" w:space="0" w:color="auto"/>
        <w:bottom w:val="none" w:sz="0" w:space="0" w:color="auto"/>
        <w:right w:val="none" w:sz="0" w:space="0" w:color="auto"/>
      </w:divBdr>
    </w:div>
    <w:div w:id="1578245643">
      <w:bodyDiv w:val="1"/>
      <w:marLeft w:val="0"/>
      <w:marRight w:val="0"/>
      <w:marTop w:val="0"/>
      <w:marBottom w:val="0"/>
      <w:divBdr>
        <w:top w:val="none" w:sz="0" w:space="0" w:color="auto"/>
        <w:left w:val="none" w:sz="0" w:space="0" w:color="auto"/>
        <w:bottom w:val="none" w:sz="0" w:space="0" w:color="auto"/>
        <w:right w:val="none" w:sz="0" w:space="0" w:color="auto"/>
      </w:divBdr>
    </w:div>
    <w:div w:id="1581518968">
      <w:bodyDiv w:val="1"/>
      <w:marLeft w:val="0"/>
      <w:marRight w:val="0"/>
      <w:marTop w:val="0"/>
      <w:marBottom w:val="0"/>
      <w:divBdr>
        <w:top w:val="none" w:sz="0" w:space="0" w:color="auto"/>
        <w:left w:val="none" w:sz="0" w:space="0" w:color="auto"/>
        <w:bottom w:val="none" w:sz="0" w:space="0" w:color="auto"/>
        <w:right w:val="none" w:sz="0" w:space="0" w:color="auto"/>
      </w:divBdr>
      <w:divsChild>
        <w:div w:id="431053115">
          <w:marLeft w:val="0"/>
          <w:marRight w:val="0"/>
          <w:marTop w:val="0"/>
          <w:marBottom w:val="0"/>
          <w:divBdr>
            <w:top w:val="none" w:sz="0" w:space="0" w:color="auto"/>
            <w:left w:val="none" w:sz="0" w:space="0" w:color="auto"/>
            <w:bottom w:val="none" w:sz="0" w:space="0" w:color="auto"/>
            <w:right w:val="none" w:sz="0" w:space="0" w:color="auto"/>
          </w:divBdr>
          <w:divsChild>
            <w:div w:id="958876494">
              <w:marLeft w:val="0"/>
              <w:marRight w:val="0"/>
              <w:marTop w:val="0"/>
              <w:marBottom w:val="0"/>
              <w:divBdr>
                <w:top w:val="none" w:sz="0" w:space="0" w:color="auto"/>
                <w:left w:val="none" w:sz="0" w:space="0" w:color="auto"/>
                <w:bottom w:val="none" w:sz="0" w:space="0" w:color="auto"/>
                <w:right w:val="none" w:sz="0" w:space="0" w:color="auto"/>
              </w:divBdr>
              <w:divsChild>
                <w:div w:id="1054160110">
                  <w:marLeft w:val="0"/>
                  <w:marRight w:val="0"/>
                  <w:marTop w:val="0"/>
                  <w:marBottom w:val="0"/>
                  <w:divBdr>
                    <w:top w:val="none" w:sz="0" w:space="0" w:color="auto"/>
                    <w:left w:val="none" w:sz="0" w:space="0" w:color="auto"/>
                    <w:bottom w:val="none" w:sz="0" w:space="0" w:color="auto"/>
                    <w:right w:val="none" w:sz="0" w:space="0" w:color="auto"/>
                  </w:divBdr>
                  <w:divsChild>
                    <w:div w:id="106631064">
                      <w:marLeft w:val="0"/>
                      <w:marRight w:val="0"/>
                      <w:marTop w:val="0"/>
                      <w:marBottom w:val="0"/>
                      <w:divBdr>
                        <w:top w:val="none" w:sz="0" w:space="0" w:color="auto"/>
                        <w:left w:val="none" w:sz="0" w:space="0" w:color="auto"/>
                        <w:bottom w:val="none" w:sz="0" w:space="0" w:color="auto"/>
                        <w:right w:val="none" w:sz="0" w:space="0" w:color="auto"/>
                      </w:divBdr>
                      <w:divsChild>
                        <w:div w:id="30883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488022">
      <w:bodyDiv w:val="1"/>
      <w:marLeft w:val="0"/>
      <w:marRight w:val="0"/>
      <w:marTop w:val="0"/>
      <w:marBottom w:val="0"/>
      <w:divBdr>
        <w:top w:val="none" w:sz="0" w:space="0" w:color="auto"/>
        <w:left w:val="none" w:sz="0" w:space="0" w:color="auto"/>
        <w:bottom w:val="none" w:sz="0" w:space="0" w:color="auto"/>
        <w:right w:val="none" w:sz="0" w:space="0" w:color="auto"/>
      </w:divBdr>
    </w:div>
    <w:div w:id="1630240329">
      <w:bodyDiv w:val="1"/>
      <w:marLeft w:val="0"/>
      <w:marRight w:val="0"/>
      <w:marTop w:val="0"/>
      <w:marBottom w:val="0"/>
      <w:divBdr>
        <w:top w:val="none" w:sz="0" w:space="0" w:color="auto"/>
        <w:left w:val="none" w:sz="0" w:space="0" w:color="auto"/>
        <w:bottom w:val="none" w:sz="0" w:space="0" w:color="auto"/>
        <w:right w:val="none" w:sz="0" w:space="0" w:color="auto"/>
      </w:divBdr>
    </w:div>
    <w:div w:id="1694377775">
      <w:bodyDiv w:val="1"/>
      <w:marLeft w:val="0"/>
      <w:marRight w:val="0"/>
      <w:marTop w:val="0"/>
      <w:marBottom w:val="0"/>
      <w:divBdr>
        <w:top w:val="none" w:sz="0" w:space="0" w:color="auto"/>
        <w:left w:val="none" w:sz="0" w:space="0" w:color="auto"/>
        <w:bottom w:val="none" w:sz="0" w:space="0" w:color="auto"/>
        <w:right w:val="none" w:sz="0" w:space="0" w:color="auto"/>
      </w:divBdr>
    </w:div>
    <w:div w:id="1695690475">
      <w:bodyDiv w:val="1"/>
      <w:marLeft w:val="0"/>
      <w:marRight w:val="0"/>
      <w:marTop w:val="0"/>
      <w:marBottom w:val="0"/>
      <w:divBdr>
        <w:top w:val="none" w:sz="0" w:space="0" w:color="auto"/>
        <w:left w:val="none" w:sz="0" w:space="0" w:color="auto"/>
        <w:bottom w:val="none" w:sz="0" w:space="0" w:color="auto"/>
        <w:right w:val="none" w:sz="0" w:space="0" w:color="auto"/>
      </w:divBdr>
    </w:div>
    <w:div w:id="1710493281">
      <w:bodyDiv w:val="1"/>
      <w:marLeft w:val="0"/>
      <w:marRight w:val="0"/>
      <w:marTop w:val="0"/>
      <w:marBottom w:val="0"/>
      <w:divBdr>
        <w:top w:val="none" w:sz="0" w:space="0" w:color="auto"/>
        <w:left w:val="none" w:sz="0" w:space="0" w:color="auto"/>
        <w:bottom w:val="none" w:sz="0" w:space="0" w:color="auto"/>
        <w:right w:val="none" w:sz="0" w:space="0" w:color="auto"/>
      </w:divBdr>
    </w:div>
    <w:div w:id="1735278283">
      <w:bodyDiv w:val="1"/>
      <w:marLeft w:val="0"/>
      <w:marRight w:val="0"/>
      <w:marTop w:val="0"/>
      <w:marBottom w:val="0"/>
      <w:divBdr>
        <w:top w:val="none" w:sz="0" w:space="0" w:color="auto"/>
        <w:left w:val="none" w:sz="0" w:space="0" w:color="auto"/>
        <w:bottom w:val="none" w:sz="0" w:space="0" w:color="auto"/>
        <w:right w:val="none" w:sz="0" w:space="0" w:color="auto"/>
      </w:divBdr>
    </w:div>
    <w:div w:id="1735931152">
      <w:bodyDiv w:val="1"/>
      <w:marLeft w:val="0"/>
      <w:marRight w:val="0"/>
      <w:marTop w:val="0"/>
      <w:marBottom w:val="0"/>
      <w:divBdr>
        <w:top w:val="none" w:sz="0" w:space="0" w:color="auto"/>
        <w:left w:val="none" w:sz="0" w:space="0" w:color="auto"/>
        <w:bottom w:val="none" w:sz="0" w:space="0" w:color="auto"/>
        <w:right w:val="none" w:sz="0" w:space="0" w:color="auto"/>
      </w:divBdr>
    </w:div>
    <w:div w:id="1756777516">
      <w:bodyDiv w:val="1"/>
      <w:marLeft w:val="0"/>
      <w:marRight w:val="0"/>
      <w:marTop w:val="0"/>
      <w:marBottom w:val="0"/>
      <w:divBdr>
        <w:top w:val="none" w:sz="0" w:space="0" w:color="auto"/>
        <w:left w:val="none" w:sz="0" w:space="0" w:color="auto"/>
        <w:bottom w:val="none" w:sz="0" w:space="0" w:color="auto"/>
        <w:right w:val="none" w:sz="0" w:space="0" w:color="auto"/>
      </w:divBdr>
    </w:div>
    <w:div w:id="1782650270">
      <w:bodyDiv w:val="1"/>
      <w:marLeft w:val="0"/>
      <w:marRight w:val="0"/>
      <w:marTop w:val="0"/>
      <w:marBottom w:val="0"/>
      <w:divBdr>
        <w:top w:val="none" w:sz="0" w:space="0" w:color="auto"/>
        <w:left w:val="none" w:sz="0" w:space="0" w:color="auto"/>
        <w:bottom w:val="none" w:sz="0" w:space="0" w:color="auto"/>
        <w:right w:val="none" w:sz="0" w:space="0" w:color="auto"/>
      </w:divBdr>
    </w:div>
    <w:div w:id="1783258454">
      <w:bodyDiv w:val="1"/>
      <w:marLeft w:val="0"/>
      <w:marRight w:val="0"/>
      <w:marTop w:val="0"/>
      <w:marBottom w:val="0"/>
      <w:divBdr>
        <w:top w:val="none" w:sz="0" w:space="0" w:color="auto"/>
        <w:left w:val="none" w:sz="0" w:space="0" w:color="auto"/>
        <w:bottom w:val="none" w:sz="0" w:space="0" w:color="auto"/>
        <w:right w:val="none" w:sz="0" w:space="0" w:color="auto"/>
      </w:divBdr>
    </w:div>
    <w:div w:id="1788886901">
      <w:bodyDiv w:val="1"/>
      <w:marLeft w:val="0"/>
      <w:marRight w:val="0"/>
      <w:marTop w:val="0"/>
      <w:marBottom w:val="0"/>
      <w:divBdr>
        <w:top w:val="none" w:sz="0" w:space="0" w:color="auto"/>
        <w:left w:val="none" w:sz="0" w:space="0" w:color="auto"/>
        <w:bottom w:val="none" w:sz="0" w:space="0" w:color="auto"/>
        <w:right w:val="none" w:sz="0" w:space="0" w:color="auto"/>
      </w:divBdr>
    </w:div>
    <w:div w:id="1877741333">
      <w:bodyDiv w:val="1"/>
      <w:marLeft w:val="0"/>
      <w:marRight w:val="0"/>
      <w:marTop w:val="0"/>
      <w:marBottom w:val="0"/>
      <w:divBdr>
        <w:top w:val="none" w:sz="0" w:space="0" w:color="auto"/>
        <w:left w:val="none" w:sz="0" w:space="0" w:color="auto"/>
        <w:bottom w:val="none" w:sz="0" w:space="0" w:color="auto"/>
        <w:right w:val="none" w:sz="0" w:space="0" w:color="auto"/>
      </w:divBdr>
    </w:div>
    <w:div w:id="1899439198">
      <w:bodyDiv w:val="1"/>
      <w:marLeft w:val="0"/>
      <w:marRight w:val="0"/>
      <w:marTop w:val="0"/>
      <w:marBottom w:val="0"/>
      <w:divBdr>
        <w:top w:val="none" w:sz="0" w:space="0" w:color="auto"/>
        <w:left w:val="none" w:sz="0" w:space="0" w:color="auto"/>
        <w:bottom w:val="none" w:sz="0" w:space="0" w:color="auto"/>
        <w:right w:val="none" w:sz="0" w:space="0" w:color="auto"/>
      </w:divBdr>
    </w:div>
    <w:div w:id="1920603325">
      <w:bodyDiv w:val="1"/>
      <w:marLeft w:val="0"/>
      <w:marRight w:val="0"/>
      <w:marTop w:val="0"/>
      <w:marBottom w:val="0"/>
      <w:divBdr>
        <w:top w:val="none" w:sz="0" w:space="0" w:color="auto"/>
        <w:left w:val="none" w:sz="0" w:space="0" w:color="auto"/>
        <w:bottom w:val="none" w:sz="0" w:space="0" w:color="auto"/>
        <w:right w:val="none" w:sz="0" w:space="0" w:color="auto"/>
      </w:divBdr>
    </w:div>
    <w:div w:id="1921257992">
      <w:bodyDiv w:val="1"/>
      <w:marLeft w:val="0"/>
      <w:marRight w:val="0"/>
      <w:marTop w:val="0"/>
      <w:marBottom w:val="0"/>
      <w:divBdr>
        <w:top w:val="none" w:sz="0" w:space="0" w:color="auto"/>
        <w:left w:val="none" w:sz="0" w:space="0" w:color="auto"/>
        <w:bottom w:val="none" w:sz="0" w:space="0" w:color="auto"/>
        <w:right w:val="none" w:sz="0" w:space="0" w:color="auto"/>
      </w:divBdr>
    </w:div>
    <w:div w:id="1928340577">
      <w:bodyDiv w:val="1"/>
      <w:marLeft w:val="0"/>
      <w:marRight w:val="0"/>
      <w:marTop w:val="0"/>
      <w:marBottom w:val="0"/>
      <w:divBdr>
        <w:top w:val="none" w:sz="0" w:space="0" w:color="auto"/>
        <w:left w:val="none" w:sz="0" w:space="0" w:color="auto"/>
        <w:bottom w:val="none" w:sz="0" w:space="0" w:color="auto"/>
        <w:right w:val="none" w:sz="0" w:space="0" w:color="auto"/>
      </w:divBdr>
    </w:div>
    <w:div w:id="1929921614">
      <w:bodyDiv w:val="1"/>
      <w:marLeft w:val="0"/>
      <w:marRight w:val="0"/>
      <w:marTop w:val="0"/>
      <w:marBottom w:val="0"/>
      <w:divBdr>
        <w:top w:val="none" w:sz="0" w:space="0" w:color="auto"/>
        <w:left w:val="none" w:sz="0" w:space="0" w:color="auto"/>
        <w:bottom w:val="none" w:sz="0" w:space="0" w:color="auto"/>
        <w:right w:val="none" w:sz="0" w:space="0" w:color="auto"/>
      </w:divBdr>
    </w:div>
    <w:div w:id="1962223963">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 w:id="1989433038">
      <w:bodyDiv w:val="1"/>
      <w:marLeft w:val="0"/>
      <w:marRight w:val="0"/>
      <w:marTop w:val="0"/>
      <w:marBottom w:val="0"/>
      <w:divBdr>
        <w:top w:val="none" w:sz="0" w:space="0" w:color="auto"/>
        <w:left w:val="none" w:sz="0" w:space="0" w:color="auto"/>
        <w:bottom w:val="none" w:sz="0" w:space="0" w:color="auto"/>
        <w:right w:val="none" w:sz="0" w:space="0" w:color="auto"/>
      </w:divBdr>
    </w:div>
    <w:div w:id="1995602682">
      <w:bodyDiv w:val="1"/>
      <w:marLeft w:val="0"/>
      <w:marRight w:val="0"/>
      <w:marTop w:val="0"/>
      <w:marBottom w:val="0"/>
      <w:divBdr>
        <w:top w:val="none" w:sz="0" w:space="0" w:color="auto"/>
        <w:left w:val="none" w:sz="0" w:space="0" w:color="auto"/>
        <w:bottom w:val="none" w:sz="0" w:space="0" w:color="auto"/>
        <w:right w:val="none" w:sz="0" w:space="0" w:color="auto"/>
      </w:divBdr>
    </w:div>
    <w:div w:id="2060931140">
      <w:bodyDiv w:val="1"/>
      <w:marLeft w:val="0"/>
      <w:marRight w:val="0"/>
      <w:marTop w:val="0"/>
      <w:marBottom w:val="0"/>
      <w:divBdr>
        <w:top w:val="none" w:sz="0" w:space="0" w:color="auto"/>
        <w:left w:val="none" w:sz="0" w:space="0" w:color="auto"/>
        <w:bottom w:val="none" w:sz="0" w:space="0" w:color="auto"/>
        <w:right w:val="none" w:sz="0" w:space="0" w:color="auto"/>
      </w:divBdr>
    </w:div>
    <w:div w:id="2093307902">
      <w:bodyDiv w:val="1"/>
      <w:marLeft w:val="0"/>
      <w:marRight w:val="0"/>
      <w:marTop w:val="0"/>
      <w:marBottom w:val="0"/>
      <w:divBdr>
        <w:top w:val="none" w:sz="0" w:space="0" w:color="auto"/>
        <w:left w:val="none" w:sz="0" w:space="0" w:color="auto"/>
        <w:bottom w:val="none" w:sz="0" w:space="0" w:color="auto"/>
        <w:right w:val="none" w:sz="0" w:space="0" w:color="auto"/>
      </w:divBdr>
      <w:divsChild>
        <w:div w:id="1426265903">
          <w:marLeft w:val="0"/>
          <w:marRight w:val="0"/>
          <w:marTop w:val="0"/>
          <w:marBottom w:val="0"/>
          <w:divBdr>
            <w:top w:val="none" w:sz="0" w:space="0" w:color="auto"/>
            <w:left w:val="none" w:sz="0" w:space="0" w:color="auto"/>
            <w:bottom w:val="none" w:sz="0" w:space="0" w:color="auto"/>
            <w:right w:val="none" w:sz="0" w:space="0" w:color="auto"/>
          </w:divBdr>
        </w:div>
      </w:divsChild>
    </w:div>
    <w:div w:id="209697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1" Type="http://schemas.openxmlformats.org/officeDocument/2006/relationships/hyperlink" Target="https://www.funcionpublica.gov.co/eva/gestornormativo/norma.php?i=628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31A5A66BD3F204FBCA5FF041CE345C5" ma:contentTypeVersion="18" ma:contentTypeDescription="Crear nuevo documento." ma:contentTypeScope="" ma:versionID="9112330ff97e27b6f0a9cd786b8f108e">
  <xsd:schema xmlns:xsd="http://www.w3.org/2001/XMLSchema" xmlns:xs="http://www.w3.org/2001/XMLSchema" xmlns:p="http://schemas.microsoft.com/office/2006/metadata/properties" xmlns:ns2="d08ec9e0-fc31-4fe3-bedd-a14f5f65596c" xmlns:ns3="79dfaaf5-d963-400d-bf29-9d771b625e66" targetNamespace="http://schemas.microsoft.com/office/2006/metadata/properties" ma:root="true" ma:fieldsID="c0a42e3f72a0ac306bf9b11fc6a9630e" ns2:_="" ns3:_="">
    <xsd:import namespace="d08ec9e0-fc31-4fe3-bedd-a14f5f65596c"/>
    <xsd:import namespace="79dfaaf5-d963-400d-bf29-9d771b625e6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ec9e0-fc31-4fe3-bedd-a14f5f655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faaf5-d963-400d-bf29-9d771b625e66"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14acef-1c62-41fb-9d24-7defe370009d}" ma:internalName="TaxCatchAll" ma:showField="CatchAllData" ma:web="79dfaaf5-d963-400d-bf29-9d771b625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dfaaf5-d963-400d-bf29-9d771b625e66" xsi:nil="true"/>
    <lcf76f155ced4ddcb4097134ff3c332f xmlns="d08ec9e0-fc31-4fe3-bedd-a14f5f65596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15F98-1723-4B11-93B7-3DFD8CE2AAA5}">
  <ds:schemaRefs>
    <ds:schemaRef ds:uri="http://schemas.openxmlformats.org/officeDocument/2006/bibliography"/>
  </ds:schemaRefs>
</ds:datastoreItem>
</file>

<file path=customXml/itemProps2.xml><?xml version="1.0" encoding="utf-8"?>
<ds:datastoreItem xmlns:ds="http://schemas.openxmlformats.org/officeDocument/2006/customXml" ds:itemID="{AA72A253-047B-4FB0-90D4-2B4D99555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ec9e0-fc31-4fe3-bedd-a14f5f65596c"/>
    <ds:schemaRef ds:uri="79dfaaf5-d963-400d-bf29-9d771b625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D7941-8188-47CE-9883-1326BCA73257}">
  <ds:schemaRefs>
    <ds:schemaRef ds:uri="http://schemas.microsoft.com/office/2006/metadata/properties"/>
    <ds:schemaRef ds:uri="http://schemas.microsoft.com/office/infopath/2007/PartnerControls"/>
    <ds:schemaRef ds:uri="79dfaaf5-d963-400d-bf29-9d771b625e66"/>
    <ds:schemaRef ds:uri="d08ec9e0-fc31-4fe3-bedd-a14f5f65596c"/>
  </ds:schemaRefs>
</ds:datastoreItem>
</file>

<file path=customXml/itemProps4.xml><?xml version="1.0" encoding="utf-8"?>
<ds:datastoreItem xmlns:ds="http://schemas.openxmlformats.org/officeDocument/2006/customXml" ds:itemID="{A9D38F1A-EE97-4514-8272-A02844C6C7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23</Pages>
  <Words>11868</Words>
  <Characters>65278</Characters>
  <Application>Microsoft Office Word</Application>
  <DocSecurity>0</DocSecurity>
  <Lines>543</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Néstor Julián Sácipa Lozano</dc:creator>
  <cp:keywords/>
  <dc:description/>
  <cp:lastModifiedBy>Paola Andrea Ruiz Gonzalez</cp:lastModifiedBy>
  <cp:revision>27</cp:revision>
  <dcterms:created xsi:type="dcterms:W3CDTF">2025-03-11T18:53:00Z</dcterms:created>
  <dcterms:modified xsi:type="dcterms:W3CDTF">2025-04-02T19:40:00Z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0x010100431A5A66BD3F204FBCA5FF041CE345C5</vt:lpwstr>
  </property>
  <property fmtid="{D5CDD505-2E9C-101B-9397-08002B2CF9AE}" pid="3" name="MediaServiceImageTags">
    <vt:lpwstr/>
  </property>
</Properties>
</file>